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0F1B9" w14:textId="77777777" w:rsidR="009E517D" w:rsidRDefault="009E517D" w:rsidP="00657246">
      <w:pPr>
        <w:spacing w:after="0"/>
        <w:jc w:val="center"/>
        <w:rPr>
          <w:rFonts w:ascii="Calibri Light" w:hAnsi="Calibri Light" w:cs="Times New Roman"/>
          <w:b/>
          <w:sz w:val="28"/>
          <w:szCs w:val="28"/>
        </w:rPr>
      </w:pPr>
      <w:r w:rsidRPr="00035992">
        <w:rPr>
          <w:rFonts w:ascii="Calibri Light" w:hAnsi="Calibri Light" w:cs="Times New Roman"/>
          <w:b/>
          <w:sz w:val="28"/>
          <w:szCs w:val="28"/>
        </w:rPr>
        <w:t xml:space="preserve">Doporučená </w:t>
      </w:r>
      <w:r>
        <w:rPr>
          <w:rFonts w:ascii="Calibri Light" w:hAnsi="Calibri Light" w:cs="Times New Roman"/>
          <w:b/>
          <w:sz w:val="28"/>
          <w:szCs w:val="28"/>
        </w:rPr>
        <w:t>osnova</w:t>
      </w:r>
      <w:r w:rsidRPr="00035992">
        <w:rPr>
          <w:rFonts w:ascii="Calibri Light" w:hAnsi="Calibri Light" w:cs="Times New Roman"/>
          <w:b/>
          <w:sz w:val="28"/>
          <w:szCs w:val="28"/>
        </w:rPr>
        <w:t xml:space="preserve"> sebehodnotící zprávy </w:t>
      </w:r>
    </w:p>
    <w:p w14:paraId="7BB5EE97" w14:textId="62EDB874" w:rsidR="009E517D" w:rsidRDefault="009E517D" w:rsidP="00657246">
      <w:pPr>
        <w:jc w:val="center"/>
        <w:rPr>
          <w:rFonts w:ascii="Calibri Light" w:hAnsi="Calibri Light" w:cs="Times New Roman"/>
          <w:b/>
          <w:sz w:val="28"/>
          <w:szCs w:val="28"/>
        </w:rPr>
      </w:pPr>
      <w:r w:rsidRPr="00035992">
        <w:rPr>
          <w:rFonts w:ascii="Calibri Light" w:hAnsi="Calibri Light" w:cs="Times New Roman"/>
          <w:b/>
          <w:sz w:val="28"/>
          <w:szCs w:val="28"/>
        </w:rPr>
        <w:t xml:space="preserve">pro akreditaci </w:t>
      </w:r>
      <w:r>
        <w:rPr>
          <w:rFonts w:ascii="Calibri Light" w:hAnsi="Calibri Light" w:cs="Times New Roman"/>
          <w:b/>
          <w:sz w:val="28"/>
          <w:szCs w:val="28"/>
        </w:rPr>
        <w:t>studijních programů</w:t>
      </w:r>
      <w:r w:rsidR="00AA58C9">
        <w:rPr>
          <w:rFonts w:ascii="Calibri Light" w:hAnsi="Calibri Light" w:cs="Times New Roman"/>
          <w:b/>
          <w:sz w:val="28"/>
          <w:szCs w:val="28"/>
        </w:rPr>
        <w:t xml:space="preserve"> </w:t>
      </w:r>
      <w:r w:rsidR="00AA58C9" w:rsidRPr="00AA58C9">
        <w:rPr>
          <w:rFonts w:ascii="Calibri Light" w:hAnsi="Calibri Light" w:cs="Times New Roman"/>
          <w:b/>
          <w:i/>
          <w:iCs/>
          <w:sz w:val="28"/>
          <w:szCs w:val="28"/>
        </w:rPr>
        <w:t>Všeobecné lékařství</w:t>
      </w:r>
      <w:r w:rsidR="00AA58C9">
        <w:rPr>
          <w:rFonts w:ascii="Calibri Light" w:hAnsi="Calibri Light" w:cs="Times New Roman"/>
          <w:b/>
          <w:sz w:val="28"/>
          <w:szCs w:val="28"/>
        </w:rPr>
        <w:t xml:space="preserve"> a </w:t>
      </w:r>
      <w:r w:rsidR="00AA58C9" w:rsidRPr="00AA58C9">
        <w:rPr>
          <w:rFonts w:ascii="Calibri Light" w:hAnsi="Calibri Light" w:cs="Times New Roman"/>
          <w:b/>
          <w:i/>
          <w:iCs/>
          <w:sz w:val="28"/>
          <w:szCs w:val="28"/>
        </w:rPr>
        <w:t>General Medicine</w:t>
      </w:r>
    </w:p>
    <w:p w14:paraId="0D8F1364" w14:textId="77777777" w:rsidR="009E517D" w:rsidRPr="00210F43" w:rsidRDefault="009E517D" w:rsidP="00210F43">
      <w:pPr>
        <w:tabs>
          <w:tab w:val="left" w:pos="2835"/>
        </w:tabs>
        <w:spacing w:before="120" w:after="120"/>
        <w:jc w:val="center"/>
        <w:rPr>
          <w:rFonts w:ascii="Calibri Light" w:hAnsi="Calibri Light" w:cs="Calibri Light"/>
          <w:sz w:val="24"/>
          <w:szCs w:val="24"/>
        </w:rPr>
      </w:pPr>
      <w:r w:rsidRPr="00210F43">
        <w:rPr>
          <w:rFonts w:ascii="Calibri Light" w:hAnsi="Calibri Light" w:cs="Calibri Light"/>
          <w:sz w:val="24"/>
          <w:szCs w:val="24"/>
        </w:rPr>
        <w:t>podklad pro přílohu E</w:t>
      </w:r>
    </w:p>
    <w:p w14:paraId="44E7929C" w14:textId="77777777" w:rsidR="009E517D" w:rsidRDefault="009E517D" w:rsidP="00DA6089">
      <w:pPr>
        <w:jc w:val="center"/>
        <w:rPr>
          <w:rFonts w:ascii="Calibri Light" w:hAnsi="Calibri Light" w:cs="Times New Roman"/>
          <w:b/>
          <w:sz w:val="28"/>
          <w:szCs w:val="28"/>
        </w:rPr>
      </w:pPr>
    </w:p>
    <w:p w14:paraId="02F035C1" w14:textId="6F94BAF6" w:rsidR="009E517D" w:rsidRPr="000052E1" w:rsidRDefault="009E517D" w:rsidP="00210F43">
      <w:pPr>
        <w:tabs>
          <w:tab w:val="left" w:pos="2835"/>
        </w:tabs>
        <w:spacing w:before="120" w:after="120"/>
        <w:jc w:val="both"/>
        <w:rPr>
          <w:rFonts w:ascii="Calibri Light" w:hAnsi="Calibri Light" w:cs="Calibri Light"/>
          <w:sz w:val="24"/>
          <w:szCs w:val="24"/>
        </w:rPr>
      </w:pPr>
      <w:r w:rsidRPr="000052E1">
        <w:rPr>
          <w:rFonts w:ascii="Calibri Light" w:hAnsi="Calibri Light" w:cs="Calibri Light"/>
          <w:sz w:val="24"/>
          <w:szCs w:val="24"/>
        </w:rPr>
        <w:t>V jednotlivých částech sebehodnotící zprávy se uvádí naplnění standardů</w:t>
      </w:r>
      <w:r w:rsidR="00AB25E8" w:rsidRPr="000052E1">
        <w:rPr>
          <w:rFonts w:ascii="Calibri Light" w:hAnsi="Calibri Light" w:cs="Calibri Light"/>
          <w:sz w:val="24"/>
          <w:szCs w:val="24"/>
        </w:rPr>
        <w:t xml:space="preserve"> </w:t>
      </w:r>
      <w:r w:rsidR="00334875" w:rsidRPr="000052E1">
        <w:rPr>
          <w:rFonts w:ascii="Calibri Light" w:hAnsi="Calibri Light" w:cs="Calibri Light"/>
          <w:sz w:val="24"/>
          <w:szCs w:val="24"/>
        </w:rPr>
        <w:t xml:space="preserve">pro akreditace dle nařízení vlády č. 274/2016 Sb. </w:t>
      </w:r>
      <w:r w:rsidR="00AB25E8" w:rsidRPr="000052E1">
        <w:rPr>
          <w:rFonts w:ascii="Calibri Light" w:hAnsi="Calibri Light" w:cs="Calibri Light"/>
          <w:sz w:val="24"/>
          <w:szCs w:val="24"/>
        </w:rPr>
        <w:t xml:space="preserve">a </w:t>
      </w:r>
      <w:r w:rsidR="00875A79">
        <w:rPr>
          <w:rFonts w:ascii="Calibri Light" w:hAnsi="Calibri Light" w:cs="Calibri Light"/>
          <w:sz w:val="24"/>
          <w:szCs w:val="24"/>
        </w:rPr>
        <w:t xml:space="preserve">požadavků </w:t>
      </w:r>
      <w:r w:rsidR="00875A79" w:rsidRPr="00875A79">
        <w:rPr>
          <w:rFonts w:ascii="Calibri Light" w:hAnsi="Calibri Light" w:cs="Calibri Light"/>
          <w:i/>
          <w:iCs/>
          <w:sz w:val="24"/>
          <w:szCs w:val="24"/>
        </w:rPr>
        <w:t>Globálních standardů</w:t>
      </w:r>
      <w:r w:rsidR="00AB25E8" w:rsidRPr="00875A79">
        <w:rPr>
          <w:rFonts w:ascii="Calibri Light" w:hAnsi="Calibri Light" w:cs="Calibri Light"/>
          <w:i/>
          <w:iCs/>
          <w:sz w:val="24"/>
          <w:szCs w:val="24"/>
        </w:rPr>
        <w:t xml:space="preserve"> </w:t>
      </w:r>
      <w:r w:rsidR="00334875" w:rsidRPr="00875A79">
        <w:rPr>
          <w:rFonts w:ascii="Calibri Light" w:hAnsi="Calibri Light" w:cs="Calibri Light"/>
          <w:i/>
          <w:iCs/>
          <w:sz w:val="24"/>
          <w:szCs w:val="24"/>
        </w:rPr>
        <w:t xml:space="preserve">World Federation for Medical Education </w:t>
      </w:r>
      <w:r w:rsidR="00875A79" w:rsidRPr="00875A79">
        <w:rPr>
          <w:rFonts w:ascii="Calibri Light" w:hAnsi="Calibri Light" w:cs="Calibri Light"/>
          <w:i/>
          <w:iCs/>
          <w:sz w:val="24"/>
          <w:szCs w:val="24"/>
        </w:rPr>
        <w:t>pro zajištění kvality všeobecného lékařského vzdělávání</w:t>
      </w:r>
      <w:r w:rsidR="00875A79" w:rsidRPr="00875A79">
        <w:rPr>
          <w:rStyle w:val="Znakapoznpodarou"/>
          <w:rFonts w:ascii="Calibri Light" w:hAnsi="Calibri Light" w:cs="Calibri Light"/>
          <w:sz w:val="24"/>
          <w:szCs w:val="24"/>
          <w:vertAlign w:val="baseline"/>
        </w:rPr>
        <w:t xml:space="preserve"> </w:t>
      </w:r>
      <w:r w:rsidR="002768E3" w:rsidRPr="000052E1">
        <w:rPr>
          <w:rStyle w:val="Znakapoznpodarou"/>
          <w:rFonts w:ascii="Calibri Light" w:hAnsi="Calibri Light" w:cs="Calibri Light"/>
          <w:sz w:val="24"/>
          <w:szCs w:val="24"/>
        </w:rPr>
        <w:footnoteReference w:id="1"/>
      </w:r>
      <w:r w:rsidR="00DA661E">
        <w:rPr>
          <w:rFonts w:ascii="Calibri Light" w:hAnsi="Calibri Light" w:cs="Calibri Light"/>
          <w:sz w:val="24"/>
          <w:szCs w:val="24"/>
        </w:rPr>
        <w:t>, a to po</w:t>
      </w:r>
      <w:r w:rsidRPr="000052E1">
        <w:rPr>
          <w:rFonts w:ascii="Calibri Light" w:hAnsi="Calibri Light" w:cs="Calibri Light"/>
          <w:sz w:val="24"/>
          <w:szCs w:val="24"/>
        </w:rPr>
        <w:t>dle bodů uvedených v příloze tohoto podkladu tak</w:t>
      </w:r>
      <w:r w:rsidR="00AB25E8" w:rsidRPr="000052E1">
        <w:rPr>
          <w:rFonts w:ascii="Calibri Light" w:hAnsi="Calibri Light" w:cs="Calibri Light"/>
          <w:sz w:val="24"/>
          <w:szCs w:val="24"/>
        </w:rPr>
        <w:t>,</w:t>
      </w:r>
      <w:r w:rsidRPr="000052E1">
        <w:rPr>
          <w:rFonts w:ascii="Calibri Light" w:hAnsi="Calibri Light" w:cs="Calibri Light"/>
          <w:sz w:val="24"/>
          <w:szCs w:val="24"/>
        </w:rPr>
        <w:t xml:space="preserve"> jak jsou označeny za každým nadpisem osnovy. </w:t>
      </w:r>
      <w:r w:rsidR="00AB25E8" w:rsidRPr="00D4283B">
        <w:rPr>
          <w:rFonts w:ascii="Calibri Light" w:hAnsi="Calibri Light" w:cs="Calibri Light"/>
          <w:sz w:val="24"/>
          <w:szCs w:val="24"/>
        </w:rPr>
        <w:t>Pro každou odrážku</w:t>
      </w:r>
      <w:r w:rsidR="00AB25E8" w:rsidRPr="000052E1">
        <w:rPr>
          <w:rFonts w:ascii="Calibri Light" w:hAnsi="Calibri Light" w:cs="Calibri Light"/>
          <w:sz w:val="24"/>
          <w:szCs w:val="24"/>
        </w:rPr>
        <w:t xml:space="preserve"> se připojuje samostatné písemné zhodnocení dané problematiky. Specifikace požadavků jednotlivých standardů je uvedena v</w:t>
      </w:r>
      <w:r w:rsidR="00E73068">
        <w:rPr>
          <w:rFonts w:ascii="Calibri Light" w:hAnsi="Calibri Light" w:cs="Calibri Light"/>
          <w:sz w:val="24"/>
          <w:szCs w:val="24"/>
        </w:rPr>
        <w:t> </w:t>
      </w:r>
      <w:r w:rsidR="00AB25E8" w:rsidRPr="000052E1">
        <w:rPr>
          <w:rFonts w:ascii="Calibri Light" w:hAnsi="Calibri Light" w:cs="Calibri Light"/>
          <w:sz w:val="24"/>
          <w:szCs w:val="24"/>
        </w:rPr>
        <w:t>Příloze</w:t>
      </w:r>
      <w:r w:rsidR="00E73068">
        <w:rPr>
          <w:rFonts w:ascii="Calibri Light" w:hAnsi="Calibri Light" w:cs="Calibri Light"/>
          <w:sz w:val="24"/>
          <w:szCs w:val="24"/>
        </w:rPr>
        <w:t xml:space="preserve"> (na konci tohoto dokumentu)</w:t>
      </w:r>
      <w:r w:rsidR="00AB25E8" w:rsidRPr="000052E1">
        <w:rPr>
          <w:rFonts w:ascii="Calibri Light" w:hAnsi="Calibri Light" w:cs="Calibri Light"/>
          <w:sz w:val="24"/>
          <w:szCs w:val="24"/>
        </w:rPr>
        <w:t>.</w:t>
      </w:r>
      <w:r w:rsidR="00E73068">
        <w:rPr>
          <w:rFonts w:ascii="Calibri Light" w:hAnsi="Calibri Light" w:cs="Calibri Light"/>
          <w:sz w:val="24"/>
          <w:szCs w:val="24"/>
        </w:rPr>
        <w:t xml:space="preserve"> Ve vztahu k jednotlivým </w:t>
      </w:r>
      <w:r w:rsidR="00875A79">
        <w:rPr>
          <w:rFonts w:ascii="Calibri Light" w:hAnsi="Calibri Light" w:cs="Calibri Light"/>
          <w:sz w:val="24"/>
          <w:szCs w:val="24"/>
        </w:rPr>
        <w:t xml:space="preserve">požadavkům </w:t>
      </w:r>
      <w:r w:rsidR="00875A79" w:rsidRPr="00E73068">
        <w:rPr>
          <w:rFonts w:ascii="Calibri Light" w:hAnsi="Calibri Light" w:cs="Calibri Light"/>
          <w:i/>
          <w:iCs/>
          <w:sz w:val="24"/>
          <w:szCs w:val="24"/>
        </w:rPr>
        <w:t>Globálních standard</w:t>
      </w:r>
      <w:r w:rsidR="00875A79">
        <w:rPr>
          <w:rFonts w:ascii="Calibri Light" w:hAnsi="Calibri Light" w:cs="Calibri Light"/>
          <w:i/>
          <w:iCs/>
          <w:sz w:val="24"/>
          <w:szCs w:val="24"/>
        </w:rPr>
        <w:t>ů</w:t>
      </w:r>
      <w:r w:rsidR="00875A79" w:rsidRPr="00E73068">
        <w:rPr>
          <w:rFonts w:ascii="Calibri Light" w:hAnsi="Calibri Light" w:cs="Calibri Light"/>
          <w:i/>
          <w:iCs/>
          <w:sz w:val="24"/>
          <w:szCs w:val="24"/>
        </w:rPr>
        <w:t xml:space="preserve"> WFME pro zajištění kvality všeobecného lékařského vzdělávání</w:t>
      </w:r>
      <w:r w:rsidR="00E73068">
        <w:rPr>
          <w:rFonts w:ascii="Calibri Light" w:hAnsi="Calibri Light" w:cs="Calibri Light"/>
          <w:sz w:val="24"/>
          <w:szCs w:val="24"/>
        </w:rPr>
        <w:t xml:space="preserve"> vysoká škola využije pokyny a klíčové otázky uvedené v</w:t>
      </w:r>
      <w:r w:rsidR="00875A79">
        <w:rPr>
          <w:rFonts w:ascii="Calibri Light" w:hAnsi="Calibri Light" w:cs="Calibri Light"/>
          <w:sz w:val="24"/>
          <w:szCs w:val="24"/>
        </w:rPr>
        <w:t> samotném dokumentu těchto standardů</w:t>
      </w:r>
      <w:r w:rsidR="00E73068">
        <w:rPr>
          <w:rFonts w:ascii="Calibri Light" w:hAnsi="Calibri Light" w:cs="Calibri Light"/>
          <w:sz w:val="24"/>
          <w:szCs w:val="24"/>
        </w:rPr>
        <w:t xml:space="preserve">. </w:t>
      </w:r>
    </w:p>
    <w:p w14:paraId="544AE0BD" w14:textId="285424CD" w:rsidR="001F29CB" w:rsidRPr="000052E1" w:rsidRDefault="001F29CB" w:rsidP="00210F43">
      <w:pPr>
        <w:tabs>
          <w:tab w:val="left" w:pos="2835"/>
        </w:tabs>
        <w:spacing w:before="120" w:after="120"/>
        <w:jc w:val="both"/>
        <w:rPr>
          <w:rFonts w:ascii="Calibri Light" w:hAnsi="Calibri Light" w:cs="Calibri Light"/>
          <w:b/>
          <w:bCs/>
          <w:sz w:val="24"/>
          <w:szCs w:val="24"/>
        </w:rPr>
      </w:pPr>
      <w:r w:rsidRPr="000052E1">
        <w:rPr>
          <w:rFonts w:ascii="Calibri Light" w:hAnsi="Calibri Light" w:cs="Calibri Light"/>
          <w:b/>
          <w:bCs/>
          <w:sz w:val="24"/>
          <w:szCs w:val="24"/>
        </w:rPr>
        <w:t>Cílem sebehodnotící zprávy není pouze deklarovat, zda standardy jsou</w:t>
      </w:r>
      <w:r w:rsidR="00DA661E">
        <w:rPr>
          <w:rFonts w:ascii="Calibri Light" w:hAnsi="Calibri Light" w:cs="Calibri Light"/>
          <w:b/>
          <w:bCs/>
          <w:sz w:val="24"/>
          <w:szCs w:val="24"/>
        </w:rPr>
        <w:t>,</w:t>
      </w:r>
      <w:r w:rsidRPr="000052E1">
        <w:rPr>
          <w:rFonts w:ascii="Calibri Light" w:hAnsi="Calibri Light" w:cs="Calibri Light"/>
          <w:b/>
          <w:bCs/>
          <w:sz w:val="24"/>
          <w:szCs w:val="24"/>
        </w:rPr>
        <w:t xml:space="preserve"> či nejsou splněny, ale provést analýzu a kritickou reflexi silných a slabých stránek vysoké školy spojených s</w:t>
      </w:r>
      <w:r w:rsidR="001245AE" w:rsidRPr="000052E1">
        <w:rPr>
          <w:rFonts w:ascii="Calibri Light" w:hAnsi="Calibri Light" w:cs="Calibri Light"/>
          <w:b/>
          <w:bCs/>
          <w:sz w:val="24"/>
          <w:szCs w:val="24"/>
        </w:rPr>
        <w:t xml:space="preserve"> naplněním </w:t>
      </w:r>
      <w:r w:rsidRPr="000052E1">
        <w:rPr>
          <w:rFonts w:ascii="Calibri Light" w:hAnsi="Calibri Light" w:cs="Calibri Light"/>
          <w:b/>
          <w:bCs/>
          <w:sz w:val="24"/>
          <w:szCs w:val="24"/>
        </w:rPr>
        <w:t>standard</w:t>
      </w:r>
      <w:r w:rsidR="001245AE" w:rsidRPr="000052E1">
        <w:rPr>
          <w:rFonts w:ascii="Calibri Light" w:hAnsi="Calibri Light" w:cs="Calibri Light"/>
          <w:b/>
          <w:bCs/>
          <w:sz w:val="24"/>
          <w:szCs w:val="24"/>
        </w:rPr>
        <w:t>ů pro akreditace</w:t>
      </w:r>
      <w:r w:rsidRPr="000052E1">
        <w:rPr>
          <w:rFonts w:ascii="Calibri Light" w:hAnsi="Calibri Light" w:cs="Calibri Light"/>
          <w:b/>
          <w:bCs/>
          <w:sz w:val="24"/>
          <w:szCs w:val="24"/>
        </w:rPr>
        <w:t>. Pouhé konstatování, že standard</w:t>
      </w:r>
      <w:r w:rsidR="00405466" w:rsidRPr="000052E1">
        <w:rPr>
          <w:rFonts w:ascii="Calibri Light" w:hAnsi="Calibri Light" w:cs="Calibri Light"/>
          <w:b/>
          <w:bCs/>
          <w:sz w:val="24"/>
          <w:szCs w:val="24"/>
        </w:rPr>
        <w:t>y</w:t>
      </w:r>
      <w:r w:rsidRPr="000052E1">
        <w:rPr>
          <w:rFonts w:ascii="Calibri Light" w:hAnsi="Calibri Light" w:cs="Calibri Light"/>
          <w:b/>
          <w:bCs/>
          <w:sz w:val="24"/>
          <w:szCs w:val="24"/>
        </w:rPr>
        <w:t xml:space="preserve"> j</w:t>
      </w:r>
      <w:r w:rsidR="00405466" w:rsidRPr="000052E1">
        <w:rPr>
          <w:rFonts w:ascii="Calibri Light" w:hAnsi="Calibri Light" w:cs="Calibri Light"/>
          <w:b/>
          <w:bCs/>
          <w:sz w:val="24"/>
          <w:szCs w:val="24"/>
        </w:rPr>
        <w:t>sou</w:t>
      </w:r>
      <w:r w:rsidRPr="000052E1">
        <w:rPr>
          <w:rFonts w:ascii="Calibri Light" w:hAnsi="Calibri Light" w:cs="Calibri Light"/>
          <w:b/>
          <w:bCs/>
          <w:sz w:val="24"/>
          <w:szCs w:val="24"/>
        </w:rPr>
        <w:t xml:space="preserve"> naplněn</w:t>
      </w:r>
      <w:r w:rsidR="00405466" w:rsidRPr="000052E1">
        <w:rPr>
          <w:rFonts w:ascii="Calibri Light" w:hAnsi="Calibri Light" w:cs="Calibri Light"/>
          <w:b/>
          <w:bCs/>
          <w:sz w:val="24"/>
          <w:szCs w:val="24"/>
        </w:rPr>
        <w:t>y</w:t>
      </w:r>
      <w:r w:rsidRPr="000052E1">
        <w:rPr>
          <w:rFonts w:ascii="Calibri Light" w:hAnsi="Calibri Light" w:cs="Calibri Light"/>
          <w:b/>
          <w:bCs/>
          <w:sz w:val="24"/>
          <w:szCs w:val="24"/>
        </w:rPr>
        <w:t xml:space="preserve">, není dostačující. </w:t>
      </w:r>
      <w:r w:rsidR="00392216" w:rsidRPr="000052E1">
        <w:rPr>
          <w:rFonts w:ascii="Calibri Light" w:hAnsi="Calibri Light" w:cs="Calibri Light"/>
          <w:b/>
          <w:bCs/>
          <w:sz w:val="24"/>
          <w:szCs w:val="24"/>
        </w:rPr>
        <w:t xml:space="preserve">Sebehodnocení by mělo odpovídat skutečnému stavu, který vyplývá z dalších údajů uvedených v žádosti. </w:t>
      </w:r>
      <w:r w:rsidRPr="000052E1">
        <w:rPr>
          <w:rFonts w:ascii="Calibri Light" w:hAnsi="Calibri Light" w:cs="Calibri Light"/>
          <w:b/>
          <w:bCs/>
          <w:sz w:val="24"/>
          <w:szCs w:val="24"/>
        </w:rPr>
        <w:t>Dobrá sebehodnotící zpráva otevřeně a adekvátně hodnotí stav naplnění jednotlivých standardů a v případě, že standard není zcela splněn, předkládá plány vhodných opatření do budoucna.</w:t>
      </w:r>
    </w:p>
    <w:p w14:paraId="579C9245" w14:textId="328121AE" w:rsidR="009E517D" w:rsidRPr="000052E1" w:rsidRDefault="009E517D" w:rsidP="00210F43">
      <w:pPr>
        <w:tabs>
          <w:tab w:val="left" w:pos="2835"/>
        </w:tabs>
        <w:spacing w:before="120" w:after="120"/>
        <w:jc w:val="both"/>
        <w:rPr>
          <w:rFonts w:ascii="Calibri Light" w:hAnsi="Calibri Light" w:cs="Calibri Light"/>
          <w:sz w:val="24"/>
          <w:szCs w:val="24"/>
        </w:rPr>
      </w:pPr>
      <w:r w:rsidRPr="000052E1">
        <w:rPr>
          <w:rFonts w:ascii="Calibri Light" w:hAnsi="Calibri Light" w:cs="Calibri Light"/>
          <w:sz w:val="24"/>
          <w:szCs w:val="24"/>
        </w:rPr>
        <w:t>Sebehodnotící zprava by měla být svázaná s faktickým popisem uskutečňování studijního plánu, a to formou odkazu na jednotlivé přílohy žádosti o akreditaci nebo na dokumenty volně přístupné na internetových st</w:t>
      </w:r>
      <w:r w:rsidR="001F29CB" w:rsidRPr="000052E1">
        <w:rPr>
          <w:rFonts w:ascii="Calibri Light" w:hAnsi="Calibri Light" w:cs="Calibri Light"/>
          <w:sz w:val="24"/>
          <w:szCs w:val="24"/>
        </w:rPr>
        <w:t>r</w:t>
      </w:r>
      <w:r w:rsidRPr="000052E1">
        <w:rPr>
          <w:rFonts w:ascii="Calibri Light" w:hAnsi="Calibri Light" w:cs="Calibri Light"/>
          <w:sz w:val="24"/>
          <w:szCs w:val="24"/>
        </w:rPr>
        <w:t>ánkách vysoké školy. U rozsáhlejších dokumentů se pak uvádí i upřesnění, kde jsou tyto informace obsaženy (číslo stránky, kapitola apod.).</w:t>
      </w:r>
    </w:p>
    <w:p w14:paraId="2CA44938" w14:textId="1EF5EB7A" w:rsidR="00E80AA4" w:rsidRPr="000052E1" w:rsidRDefault="00E80AA4" w:rsidP="00210F43">
      <w:pPr>
        <w:tabs>
          <w:tab w:val="left" w:pos="2835"/>
        </w:tabs>
        <w:spacing w:before="120" w:after="120"/>
        <w:jc w:val="both"/>
        <w:rPr>
          <w:rFonts w:ascii="Calibri Light" w:hAnsi="Calibri Light" w:cs="Calibri Light"/>
          <w:sz w:val="24"/>
          <w:szCs w:val="24"/>
        </w:rPr>
      </w:pPr>
      <w:r w:rsidRPr="000052E1">
        <w:rPr>
          <w:rFonts w:ascii="Calibri Light" w:hAnsi="Calibri Light" w:cs="Calibri Light"/>
          <w:sz w:val="24"/>
          <w:szCs w:val="24"/>
        </w:rPr>
        <w:t>Sebehodnotící zprávu je zároveň možné využít k vysvětlení informací uvedených v ostatních přílohách žádosti, resp. k doplnění důležitých informací, jež nebylo možné do ostatních příloh zahrnout.</w:t>
      </w:r>
    </w:p>
    <w:p w14:paraId="63E51625" w14:textId="77777777" w:rsidR="009E517D" w:rsidRPr="000052E1" w:rsidRDefault="009E517D" w:rsidP="007702D1">
      <w:pPr>
        <w:pStyle w:val="Nadpis1"/>
        <w:jc w:val="both"/>
      </w:pPr>
      <w:r w:rsidRPr="000052E1">
        <w:t>Instituce</w:t>
      </w:r>
    </w:p>
    <w:p w14:paraId="51380FE9" w14:textId="71A5E595" w:rsidR="005A69DA" w:rsidRDefault="00AA58C9" w:rsidP="00AA58C9">
      <w:pPr>
        <w:pStyle w:val="Odstavecseseznamem"/>
        <w:numPr>
          <w:ilvl w:val="0"/>
          <w:numId w:val="27"/>
        </w:numPr>
        <w:tabs>
          <w:tab w:val="left" w:pos="2835"/>
        </w:tabs>
        <w:spacing w:before="120" w:after="120"/>
        <w:jc w:val="both"/>
        <w:rPr>
          <w:rFonts w:ascii="Calibri Light" w:hAnsi="Calibri Light" w:cs="Calibri Light"/>
          <w:sz w:val="24"/>
          <w:szCs w:val="24"/>
        </w:rPr>
      </w:pPr>
      <w:r w:rsidRPr="000052E1">
        <w:rPr>
          <w:rFonts w:ascii="Calibri Light" w:hAnsi="Calibri Light" w:cs="Calibri Light"/>
          <w:sz w:val="24"/>
          <w:szCs w:val="24"/>
        </w:rPr>
        <w:t>WFME 1 Prohlášení o misi</w:t>
      </w:r>
    </w:p>
    <w:p w14:paraId="291C6D95" w14:textId="4E0C8430" w:rsidR="009E517D" w:rsidRPr="000052E1" w:rsidRDefault="005A69DA" w:rsidP="00875A79">
      <w:pPr>
        <w:spacing w:after="0"/>
        <w:jc w:val="both"/>
        <w:rPr>
          <w:rFonts w:ascii="Times New Roman" w:hAnsi="Times New Roman" w:cs="Times New Roman"/>
          <w:bCs/>
          <w:sz w:val="24"/>
          <w:szCs w:val="24"/>
          <w:u w:val="single"/>
        </w:rPr>
      </w:pPr>
      <w:r w:rsidRPr="000052E1">
        <w:rPr>
          <w:rFonts w:ascii="Times New Roman" w:hAnsi="Times New Roman" w:cs="Times New Roman"/>
          <w:bCs/>
          <w:sz w:val="24"/>
          <w:szCs w:val="24"/>
          <w:u w:val="single"/>
        </w:rPr>
        <w:t xml:space="preserve"> </w:t>
      </w:r>
    </w:p>
    <w:p w14:paraId="42A4C8EB" w14:textId="60B85F89" w:rsidR="009E517D" w:rsidRPr="000052E1" w:rsidRDefault="00002FD9" w:rsidP="007702D1">
      <w:pPr>
        <w:pStyle w:val="Nadpis2"/>
        <w:jc w:val="both"/>
      </w:pPr>
      <w:r w:rsidRPr="000052E1">
        <w:lastRenderedPageBreak/>
        <w:t xml:space="preserve"> </w:t>
      </w:r>
      <w:r w:rsidR="009E517D" w:rsidRPr="000052E1">
        <w:t>Působnost orgánů vysoké školy</w:t>
      </w:r>
    </w:p>
    <w:p w14:paraId="46BCA667" w14:textId="64648508" w:rsidR="009E517D" w:rsidRPr="000052E1" w:rsidRDefault="009E517D" w:rsidP="007702D1">
      <w:pPr>
        <w:pStyle w:val="Nadpis3"/>
        <w:jc w:val="both"/>
      </w:pPr>
      <w:r w:rsidRPr="000052E1" w:rsidDel="00002FD9">
        <w:t>Standardy</w:t>
      </w:r>
      <w:r w:rsidR="00334875" w:rsidRPr="000052E1">
        <w:t xml:space="preserve"> </w:t>
      </w:r>
      <w:r w:rsidRPr="000052E1" w:rsidDel="00002FD9">
        <w:t>1.1-1.2</w:t>
      </w:r>
      <w:r w:rsidR="00D56A76" w:rsidRPr="000052E1">
        <w:t>, WFME 8.1-8.3 Řízení a správa</w:t>
      </w:r>
    </w:p>
    <w:p w14:paraId="4E489EC0" w14:textId="77777777" w:rsidR="009E517D" w:rsidRPr="000052E1" w:rsidRDefault="009E517D" w:rsidP="007702D1">
      <w:pPr>
        <w:pStyle w:val="Nadpis2"/>
        <w:jc w:val="both"/>
      </w:pPr>
    </w:p>
    <w:p w14:paraId="52FF03B7" w14:textId="77777777" w:rsidR="009E517D" w:rsidRPr="000052E1" w:rsidRDefault="009E517D" w:rsidP="007702D1">
      <w:pPr>
        <w:pStyle w:val="Nadpis2"/>
        <w:jc w:val="both"/>
      </w:pPr>
      <w:r w:rsidRPr="000052E1">
        <w:t xml:space="preserve">Vnitřní systém zajišťování kvality </w:t>
      </w:r>
    </w:p>
    <w:p w14:paraId="1C3E66C3" w14:textId="3C74B585" w:rsidR="009E517D" w:rsidRPr="000052E1" w:rsidRDefault="00932750" w:rsidP="007702D1">
      <w:pPr>
        <w:pStyle w:val="Nadpis3"/>
        <w:jc w:val="both"/>
      </w:pPr>
      <w:r w:rsidRPr="000052E1">
        <w:t xml:space="preserve">WFME 7, </w:t>
      </w:r>
      <w:r w:rsidR="00002FD9" w:rsidRPr="000052E1">
        <w:t xml:space="preserve">Standard 1.3 </w:t>
      </w:r>
      <w:r w:rsidR="009E517D" w:rsidRPr="000052E1">
        <w:t>Vymezení pravomoci a odpovědnost za kvalitu</w:t>
      </w:r>
    </w:p>
    <w:p w14:paraId="20F9142B" w14:textId="6B9350C7" w:rsidR="009E517D" w:rsidRPr="000052E1" w:rsidRDefault="009E517D" w:rsidP="007702D1">
      <w:pPr>
        <w:tabs>
          <w:tab w:val="left" w:pos="2835"/>
        </w:tabs>
        <w:spacing w:before="120" w:after="120"/>
        <w:jc w:val="both"/>
      </w:pPr>
      <w:r w:rsidRPr="000052E1">
        <w:tab/>
      </w:r>
      <w:r w:rsidRPr="000052E1">
        <w:tab/>
        <w:t xml:space="preserve"> </w:t>
      </w:r>
    </w:p>
    <w:p w14:paraId="0E877A7C" w14:textId="25C635BD" w:rsidR="009E517D" w:rsidRPr="000052E1" w:rsidRDefault="00002FD9" w:rsidP="007702D1">
      <w:pPr>
        <w:pStyle w:val="Nadpis3"/>
        <w:jc w:val="both"/>
      </w:pPr>
      <w:r w:rsidRPr="000052E1">
        <w:t xml:space="preserve">Standard 1.4 </w:t>
      </w:r>
      <w:r w:rsidR="009E517D" w:rsidRPr="000052E1">
        <w:t xml:space="preserve">Procesy vzniku a úprav studijních programů </w:t>
      </w:r>
    </w:p>
    <w:p w14:paraId="7E7297BF" w14:textId="3E37F569" w:rsidR="009E517D" w:rsidRPr="000052E1" w:rsidRDefault="009E517D" w:rsidP="007702D1">
      <w:pPr>
        <w:tabs>
          <w:tab w:val="left" w:pos="2835"/>
        </w:tabs>
        <w:spacing w:before="120" w:after="120"/>
        <w:jc w:val="both"/>
      </w:pPr>
      <w:r w:rsidRPr="000052E1">
        <w:tab/>
      </w:r>
      <w:r w:rsidRPr="000052E1">
        <w:tab/>
      </w:r>
    </w:p>
    <w:p w14:paraId="0D347D24" w14:textId="0B890CA8" w:rsidR="009E517D" w:rsidRPr="000052E1" w:rsidRDefault="00D575B1" w:rsidP="007702D1">
      <w:pPr>
        <w:pStyle w:val="Nadpis3"/>
        <w:jc w:val="both"/>
      </w:pPr>
      <w:r w:rsidRPr="000052E1">
        <w:t xml:space="preserve">WFME 4.1, </w:t>
      </w:r>
      <w:r w:rsidR="00002FD9" w:rsidRPr="000052E1">
        <w:t xml:space="preserve">Standard 1.5 </w:t>
      </w:r>
      <w:r w:rsidRPr="000052E1">
        <w:t>Pravidla přijímání studentů</w:t>
      </w:r>
      <w:r w:rsidR="003F3638" w:rsidRPr="000052E1">
        <w:t xml:space="preserve"> ke studiu</w:t>
      </w:r>
      <w:r w:rsidR="009E517D" w:rsidRPr="000052E1">
        <w:t xml:space="preserve"> </w:t>
      </w:r>
    </w:p>
    <w:p w14:paraId="31B18035" w14:textId="78108C13" w:rsidR="009E517D" w:rsidRPr="000052E1" w:rsidRDefault="009E517D" w:rsidP="007702D1">
      <w:pPr>
        <w:tabs>
          <w:tab w:val="left" w:pos="2835"/>
        </w:tabs>
        <w:spacing w:before="120" w:after="120"/>
        <w:jc w:val="both"/>
      </w:pPr>
      <w:r w:rsidRPr="000052E1">
        <w:tab/>
      </w:r>
      <w:r w:rsidRPr="000052E1">
        <w:tab/>
      </w:r>
    </w:p>
    <w:p w14:paraId="01903897" w14:textId="4D79A199" w:rsidR="009E517D" w:rsidRPr="000052E1" w:rsidRDefault="00002FD9" w:rsidP="007702D1">
      <w:pPr>
        <w:pStyle w:val="Nadpis3"/>
        <w:jc w:val="both"/>
      </w:pPr>
      <w:r w:rsidRPr="000052E1">
        <w:t xml:space="preserve">Standard 1.6 </w:t>
      </w:r>
      <w:r w:rsidR="009E517D" w:rsidRPr="000052E1">
        <w:t xml:space="preserve">Vedení kvalifikačních a rigorózních prací </w:t>
      </w:r>
    </w:p>
    <w:p w14:paraId="7745FE1E" w14:textId="16DF9305" w:rsidR="00775A23" w:rsidRPr="000052E1" w:rsidRDefault="00775A23" w:rsidP="007702D1">
      <w:pPr>
        <w:tabs>
          <w:tab w:val="left" w:pos="2835"/>
        </w:tabs>
        <w:spacing w:before="120" w:after="120"/>
        <w:jc w:val="both"/>
        <w:rPr>
          <w:rFonts w:ascii="Calibri Light" w:hAnsi="Calibri Light" w:cs="Calibri Light"/>
          <w:sz w:val="24"/>
          <w:szCs w:val="24"/>
        </w:rPr>
      </w:pPr>
      <w:r w:rsidRPr="000052E1">
        <w:rPr>
          <w:rFonts w:ascii="Calibri Light" w:hAnsi="Calibri Light" w:cs="Calibri Light"/>
          <w:sz w:val="24"/>
          <w:szCs w:val="24"/>
        </w:rPr>
        <w:t>Uvedou se limity maximálního možného počtu vedených prací na jednoho pracovníka a odkaz na předpis či jiný dokument, kterým jsou tyto limity stanoveny.</w:t>
      </w:r>
    </w:p>
    <w:p w14:paraId="1A17EBFA" w14:textId="77777777" w:rsidR="00830B9E" w:rsidRPr="000052E1" w:rsidRDefault="00830B9E" w:rsidP="007702D1">
      <w:pPr>
        <w:tabs>
          <w:tab w:val="left" w:pos="2835"/>
        </w:tabs>
        <w:spacing w:before="120" w:after="120"/>
        <w:jc w:val="both"/>
        <w:rPr>
          <w:rFonts w:ascii="Calibri Light" w:hAnsi="Calibri Light" w:cs="Calibri Light"/>
          <w:sz w:val="24"/>
          <w:szCs w:val="24"/>
        </w:rPr>
      </w:pPr>
    </w:p>
    <w:p w14:paraId="30880FBA" w14:textId="6A2119BF" w:rsidR="009E517D" w:rsidRPr="000052E1" w:rsidRDefault="00932750" w:rsidP="007702D1">
      <w:pPr>
        <w:pStyle w:val="Nadpis3"/>
        <w:jc w:val="both"/>
      </w:pPr>
      <w:r w:rsidRPr="000052E1">
        <w:t xml:space="preserve">WFME 3.4, </w:t>
      </w:r>
      <w:r w:rsidR="00002FD9" w:rsidRPr="000052E1">
        <w:t xml:space="preserve">Standard 1.7 </w:t>
      </w:r>
      <w:r w:rsidR="009E517D" w:rsidRPr="000052E1">
        <w:t xml:space="preserve">Procesy zpětné vazby při hodnocení kvality </w:t>
      </w:r>
    </w:p>
    <w:p w14:paraId="6ED01C7C" w14:textId="4B046F68" w:rsidR="009E517D" w:rsidRPr="000052E1" w:rsidRDefault="009E517D" w:rsidP="007702D1">
      <w:pPr>
        <w:tabs>
          <w:tab w:val="left" w:pos="2835"/>
        </w:tabs>
        <w:spacing w:before="120" w:after="120"/>
        <w:jc w:val="both"/>
      </w:pPr>
      <w:r w:rsidRPr="000052E1">
        <w:tab/>
      </w:r>
      <w:r w:rsidRPr="000052E1">
        <w:tab/>
      </w:r>
    </w:p>
    <w:p w14:paraId="40E1B54C" w14:textId="0B737394" w:rsidR="009E517D" w:rsidRPr="000052E1" w:rsidRDefault="00002FD9" w:rsidP="007702D1">
      <w:pPr>
        <w:pStyle w:val="Nadpis3"/>
        <w:jc w:val="both"/>
      </w:pPr>
      <w:r w:rsidRPr="000052E1">
        <w:t xml:space="preserve">Standard 1.8 </w:t>
      </w:r>
      <w:r w:rsidR="009E517D" w:rsidRPr="000052E1">
        <w:t xml:space="preserve">Sledování úspěšnosti uchazečů o studium, studentů a uplatnitelnosti absolventů </w:t>
      </w:r>
    </w:p>
    <w:p w14:paraId="2DF50A97" w14:textId="693D7E15" w:rsidR="009E517D" w:rsidRPr="000052E1" w:rsidRDefault="009E517D" w:rsidP="007702D1">
      <w:pPr>
        <w:tabs>
          <w:tab w:val="left" w:pos="2835"/>
        </w:tabs>
        <w:spacing w:before="120" w:after="120"/>
        <w:jc w:val="both"/>
      </w:pPr>
      <w:r w:rsidRPr="000052E1">
        <w:tab/>
      </w:r>
      <w:r w:rsidRPr="000052E1">
        <w:tab/>
      </w:r>
    </w:p>
    <w:p w14:paraId="2CA3FE80" w14:textId="77777777" w:rsidR="009E517D" w:rsidRPr="000052E1" w:rsidRDefault="009E517D" w:rsidP="007702D1">
      <w:pPr>
        <w:pStyle w:val="Nadpis2"/>
        <w:jc w:val="both"/>
      </w:pPr>
      <w:r w:rsidRPr="000052E1">
        <w:t>Vzdělávací a tvůrčí činnost</w:t>
      </w:r>
    </w:p>
    <w:p w14:paraId="2A673E75" w14:textId="54C99203" w:rsidR="009E517D" w:rsidRPr="000052E1" w:rsidRDefault="00002FD9" w:rsidP="007702D1">
      <w:pPr>
        <w:pStyle w:val="Nadpis3"/>
        <w:jc w:val="both"/>
      </w:pPr>
      <w:r w:rsidRPr="000052E1">
        <w:t xml:space="preserve">Standard 1.9 </w:t>
      </w:r>
      <w:r w:rsidR="009E517D" w:rsidRPr="000052E1">
        <w:t xml:space="preserve">Mezinárodní rozměr a aplikace soudobého stavu poznání </w:t>
      </w:r>
    </w:p>
    <w:p w14:paraId="55D3CCB2" w14:textId="150482EE" w:rsidR="009E517D" w:rsidRPr="000052E1" w:rsidRDefault="009E517D" w:rsidP="007702D1">
      <w:pPr>
        <w:spacing w:before="120" w:after="120"/>
        <w:jc w:val="both"/>
      </w:pPr>
      <w:r w:rsidRPr="000052E1">
        <w:tab/>
      </w:r>
      <w:r w:rsidRPr="000052E1">
        <w:tab/>
      </w:r>
      <w:r w:rsidRPr="000052E1">
        <w:tab/>
      </w:r>
      <w:r w:rsidRPr="000052E1">
        <w:tab/>
      </w:r>
      <w:r w:rsidRPr="000052E1">
        <w:tab/>
      </w:r>
    </w:p>
    <w:p w14:paraId="3960995D" w14:textId="674AE9C7" w:rsidR="009E517D" w:rsidRPr="000052E1" w:rsidRDefault="00002FD9" w:rsidP="007702D1">
      <w:pPr>
        <w:pStyle w:val="Nadpis3"/>
        <w:jc w:val="both"/>
      </w:pPr>
      <w:r w:rsidRPr="000052E1">
        <w:t xml:space="preserve">Standard 1.10 </w:t>
      </w:r>
      <w:r w:rsidR="009E517D" w:rsidRPr="000052E1">
        <w:t>Spolupráce s praxí při uskutečňování studijních programů</w:t>
      </w:r>
    </w:p>
    <w:p w14:paraId="49E85050" w14:textId="704854A9" w:rsidR="009E517D" w:rsidRPr="000052E1" w:rsidRDefault="009E517D" w:rsidP="007702D1">
      <w:pPr>
        <w:spacing w:before="120" w:after="120"/>
        <w:jc w:val="both"/>
      </w:pPr>
      <w:r w:rsidRPr="000052E1">
        <w:tab/>
      </w:r>
      <w:r w:rsidRPr="000052E1">
        <w:tab/>
      </w:r>
      <w:r w:rsidRPr="000052E1">
        <w:tab/>
      </w:r>
      <w:r w:rsidRPr="000052E1">
        <w:tab/>
      </w:r>
      <w:r w:rsidRPr="000052E1">
        <w:tab/>
      </w:r>
    </w:p>
    <w:p w14:paraId="705DEA7F" w14:textId="4334A69F" w:rsidR="009E517D" w:rsidRPr="000052E1" w:rsidRDefault="00002FD9" w:rsidP="007702D1">
      <w:pPr>
        <w:pStyle w:val="Nadpis3"/>
        <w:jc w:val="both"/>
      </w:pPr>
      <w:r w:rsidRPr="000052E1">
        <w:t xml:space="preserve">Standard 1.11 </w:t>
      </w:r>
      <w:r w:rsidR="009E517D" w:rsidRPr="000052E1">
        <w:t xml:space="preserve">Spolupráce s praxí při tvorbě studijních programů </w:t>
      </w:r>
    </w:p>
    <w:p w14:paraId="5DF9F761" w14:textId="02DBFF70" w:rsidR="009E517D" w:rsidRPr="000052E1" w:rsidRDefault="009E517D" w:rsidP="007702D1">
      <w:pPr>
        <w:spacing w:before="120" w:after="120"/>
        <w:jc w:val="both"/>
      </w:pPr>
      <w:r w:rsidRPr="000052E1">
        <w:tab/>
      </w:r>
      <w:r w:rsidRPr="000052E1">
        <w:tab/>
      </w:r>
      <w:r w:rsidRPr="000052E1">
        <w:tab/>
      </w:r>
      <w:r w:rsidRPr="000052E1">
        <w:tab/>
      </w:r>
      <w:r w:rsidRPr="000052E1">
        <w:tab/>
      </w:r>
    </w:p>
    <w:p w14:paraId="2720FF96" w14:textId="77777777" w:rsidR="009E517D" w:rsidRPr="000052E1" w:rsidRDefault="009E517D" w:rsidP="007702D1">
      <w:pPr>
        <w:pStyle w:val="Nadpis2"/>
        <w:jc w:val="both"/>
      </w:pPr>
      <w:r w:rsidRPr="000052E1">
        <w:t xml:space="preserve">Podpůrné zdroje a administrativa </w:t>
      </w:r>
    </w:p>
    <w:p w14:paraId="37F9F7C8" w14:textId="17280173" w:rsidR="009E517D" w:rsidRPr="000052E1" w:rsidRDefault="00002FD9" w:rsidP="007702D1">
      <w:pPr>
        <w:pStyle w:val="Nadpis3"/>
        <w:jc w:val="both"/>
      </w:pPr>
      <w:r w:rsidRPr="000052E1">
        <w:t xml:space="preserve">Standard 1.12 </w:t>
      </w:r>
      <w:r w:rsidR="009E517D" w:rsidRPr="000052E1">
        <w:t xml:space="preserve">Informační systém </w:t>
      </w:r>
    </w:p>
    <w:p w14:paraId="0BA388C7" w14:textId="15742C9A" w:rsidR="009E517D" w:rsidRPr="000052E1" w:rsidRDefault="009E517D" w:rsidP="007702D1">
      <w:pPr>
        <w:tabs>
          <w:tab w:val="left" w:pos="2835"/>
        </w:tabs>
        <w:spacing w:before="120" w:after="120"/>
        <w:jc w:val="both"/>
      </w:pPr>
      <w:r w:rsidRPr="000052E1">
        <w:tab/>
      </w:r>
      <w:r w:rsidRPr="000052E1">
        <w:tab/>
      </w:r>
    </w:p>
    <w:p w14:paraId="1BC2FAF5" w14:textId="520AB833" w:rsidR="009E517D" w:rsidRPr="000052E1" w:rsidRDefault="00002FD9" w:rsidP="007702D1">
      <w:pPr>
        <w:pStyle w:val="Nadpis3"/>
        <w:jc w:val="both"/>
      </w:pPr>
      <w:r w:rsidRPr="000052E1">
        <w:t xml:space="preserve">Standard 1.13 </w:t>
      </w:r>
      <w:r w:rsidR="009E517D" w:rsidRPr="000052E1">
        <w:t xml:space="preserve">Knihovny a elektronické zdroje </w:t>
      </w:r>
    </w:p>
    <w:p w14:paraId="2222597B" w14:textId="0EC8A57D" w:rsidR="009E517D" w:rsidRPr="000052E1" w:rsidRDefault="009E517D" w:rsidP="007702D1">
      <w:pPr>
        <w:tabs>
          <w:tab w:val="left" w:pos="2835"/>
        </w:tabs>
        <w:spacing w:before="120" w:after="120"/>
        <w:jc w:val="both"/>
      </w:pPr>
      <w:r w:rsidRPr="000052E1">
        <w:tab/>
      </w:r>
      <w:r w:rsidRPr="000052E1">
        <w:tab/>
      </w:r>
    </w:p>
    <w:p w14:paraId="1ACF7A4F" w14:textId="275230DE" w:rsidR="009E517D" w:rsidRPr="000052E1" w:rsidRDefault="003F3638" w:rsidP="007702D1">
      <w:pPr>
        <w:pStyle w:val="Nadpis3"/>
        <w:jc w:val="both"/>
      </w:pPr>
      <w:r w:rsidRPr="000052E1">
        <w:t xml:space="preserve">WFME 4.2, </w:t>
      </w:r>
      <w:r w:rsidR="00002FD9" w:rsidRPr="000052E1">
        <w:t xml:space="preserve">Standard 1.14 </w:t>
      </w:r>
      <w:r w:rsidRPr="000052E1">
        <w:t>Podpora a poradenství</w:t>
      </w:r>
      <w:r w:rsidR="009E517D" w:rsidRPr="000052E1">
        <w:t xml:space="preserve"> </w:t>
      </w:r>
      <w:r w:rsidRPr="000052E1">
        <w:t>pro studenty vč. studentů se specifickými potřebami</w:t>
      </w:r>
    </w:p>
    <w:p w14:paraId="2493EC23" w14:textId="6FE18701" w:rsidR="009E517D" w:rsidRPr="000052E1" w:rsidRDefault="009E517D" w:rsidP="007702D1">
      <w:pPr>
        <w:tabs>
          <w:tab w:val="left" w:pos="2835"/>
        </w:tabs>
        <w:spacing w:before="120" w:after="120"/>
        <w:jc w:val="both"/>
      </w:pPr>
      <w:r w:rsidRPr="000052E1">
        <w:tab/>
      </w:r>
      <w:r w:rsidRPr="000052E1">
        <w:tab/>
      </w:r>
    </w:p>
    <w:p w14:paraId="59D6C079" w14:textId="2E714B7E" w:rsidR="009E517D" w:rsidRDefault="00002FD9" w:rsidP="007702D1">
      <w:pPr>
        <w:pStyle w:val="Nadpis3"/>
        <w:jc w:val="both"/>
      </w:pPr>
      <w:r w:rsidRPr="000052E1">
        <w:lastRenderedPageBreak/>
        <w:t xml:space="preserve">Standard 1.15 </w:t>
      </w:r>
      <w:r w:rsidR="009E517D" w:rsidRPr="000052E1">
        <w:t>Opatření proti neetickému jednání a k ochraně duševního vlastnictví</w:t>
      </w:r>
    </w:p>
    <w:p w14:paraId="4B69F0A6" w14:textId="77777777" w:rsidR="004636A1" w:rsidRPr="004636A1" w:rsidRDefault="004636A1" w:rsidP="004636A1"/>
    <w:p w14:paraId="7F89A010" w14:textId="777F974C" w:rsidR="005C7F78" w:rsidRPr="000052E1" w:rsidRDefault="005C7F78" w:rsidP="005C7F78">
      <w:pPr>
        <w:pStyle w:val="Odstavecseseznamem"/>
        <w:numPr>
          <w:ilvl w:val="0"/>
          <w:numId w:val="27"/>
        </w:numPr>
        <w:spacing w:before="120" w:after="120"/>
        <w:ind w:left="1134"/>
        <w:jc w:val="both"/>
        <w:rPr>
          <w:rFonts w:ascii="Calibri Light" w:hAnsi="Calibri Light" w:cs="Calibri Light"/>
          <w:sz w:val="24"/>
          <w:szCs w:val="24"/>
        </w:rPr>
      </w:pPr>
      <w:r w:rsidRPr="000052E1">
        <w:rPr>
          <w:rFonts w:ascii="Calibri Light" w:hAnsi="Calibri Light" w:cs="Calibri Light"/>
          <w:sz w:val="24"/>
          <w:szCs w:val="24"/>
        </w:rPr>
        <w:t>WFME 5.2 Výkon a jednání akademických pracovníků (</w:t>
      </w:r>
      <w:r w:rsidR="005C4C80" w:rsidRPr="000052E1">
        <w:rPr>
          <w:rFonts w:ascii="Calibri Light" w:hAnsi="Calibri Light" w:cs="Calibri Light"/>
          <w:sz w:val="24"/>
          <w:szCs w:val="24"/>
        </w:rPr>
        <w:t xml:space="preserve">vč. </w:t>
      </w:r>
      <w:r w:rsidRPr="000052E1">
        <w:rPr>
          <w:rFonts w:ascii="Calibri Light" w:hAnsi="Calibri Light" w:cs="Calibri Light"/>
          <w:sz w:val="24"/>
          <w:szCs w:val="24"/>
        </w:rPr>
        <w:t>etick</w:t>
      </w:r>
      <w:r w:rsidR="005C4C80" w:rsidRPr="000052E1">
        <w:rPr>
          <w:rFonts w:ascii="Calibri Light" w:hAnsi="Calibri Light" w:cs="Calibri Light"/>
          <w:sz w:val="24"/>
          <w:szCs w:val="24"/>
        </w:rPr>
        <w:t>ých</w:t>
      </w:r>
      <w:r w:rsidRPr="000052E1">
        <w:rPr>
          <w:rFonts w:ascii="Calibri Light" w:hAnsi="Calibri Light" w:cs="Calibri Light"/>
          <w:sz w:val="24"/>
          <w:szCs w:val="24"/>
        </w:rPr>
        <w:t xml:space="preserve"> princip</w:t>
      </w:r>
      <w:r w:rsidR="005C4C80" w:rsidRPr="000052E1">
        <w:rPr>
          <w:rFonts w:ascii="Calibri Light" w:hAnsi="Calibri Light" w:cs="Calibri Light"/>
          <w:sz w:val="24"/>
          <w:szCs w:val="24"/>
        </w:rPr>
        <w:t>ů</w:t>
      </w:r>
      <w:r w:rsidRPr="000052E1">
        <w:rPr>
          <w:rFonts w:ascii="Calibri Light" w:hAnsi="Calibri Light" w:cs="Calibri Light"/>
          <w:sz w:val="24"/>
          <w:szCs w:val="24"/>
        </w:rPr>
        <w:t>)</w:t>
      </w:r>
    </w:p>
    <w:p w14:paraId="0A366F0F" w14:textId="77777777" w:rsidR="00210F43" w:rsidRPr="000052E1" w:rsidRDefault="00210F43" w:rsidP="007702D1">
      <w:pPr>
        <w:spacing w:before="120" w:after="120"/>
        <w:jc w:val="both"/>
        <w:rPr>
          <w:rFonts w:ascii="Calibri Light" w:hAnsi="Calibri Light" w:cs="Calibri Light"/>
          <w:sz w:val="24"/>
          <w:szCs w:val="24"/>
        </w:rPr>
      </w:pPr>
    </w:p>
    <w:p w14:paraId="64A96BAB" w14:textId="77777777" w:rsidR="009E517D" w:rsidRPr="000052E1" w:rsidRDefault="009E517D" w:rsidP="007702D1">
      <w:pPr>
        <w:pStyle w:val="Nadpis1"/>
        <w:jc w:val="both"/>
      </w:pPr>
      <w:r w:rsidRPr="000052E1">
        <w:t>Studijní program</w:t>
      </w:r>
    </w:p>
    <w:p w14:paraId="52945C08" w14:textId="0F6BE069" w:rsidR="009E517D" w:rsidRPr="000052E1" w:rsidRDefault="009E517D" w:rsidP="007702D1">
      <w:pPr>
        <w:spacing w:after="0"/>
        <w:jc w:val="both"/>
        <w:rPr>
          <w:rFonts w:ascii="Times New Roman" w:hAnsi="Times New Roman" w:cs="Times New Roman"/>
          <w:bCs/>
          <w:sz w:val="24"/>
          <w:szCs w:val="24"/>
        </w:rPr>
      </w:pPr>
    </w:p>
    <w:p w14:paraId="388CD77D" w14:textId="7D158081" w:rsidR="004E4F30" w:rsidRPr="000052E1" w:rsidRDefault="00C941C9" w:rsidP="007702D1">
      <w:pPr>
        <w:spacing w:before="120" w:after="120"/>
        <w:jc w:val="both"/>
        <w:rPr>
          <w:rFonts w:ascii="Calibri Light" w:hAnsi="Calibri Light" w:cs="Calibri Light"/>
          <w:sz w:val="24"/>
          <w:szCs w:val="24"/>
        </w:rPr>
      </w:pPr>
      <w:r w:rsidRPr="000052E1">
        <w:rPr>
          <w:rFonts w:ascii="Calibri Light" w:hAnsi="Calibri Light" w:cs="Calibri Light"/>
          <w:sz w:val="24"/>
          <w:szCs w:val="24"/>
        </w:rPr>
        <w:t>V případě žádosti o prodloužení platnosti akreditace</w:t>
      </w:r>
      <w:r w:rsidR="00AB25E8" w:rsidRPr="000052E1">
        <w:rPr>
          <w:rFonts w:ascii="Calibri Light" w:hAnsi="Calibri Light" w:cs="Calibri Light"/>
          <w:sz w:val="24"/>
          <w:szCs w:val="24"/>
        </w:rPr>
        <w:t xml:space="preserve"> a v případě vnějšího hodnocení činnosti vysoké školy</w:t>
      </w:r>
      <w:r w:rsidRPr="000052E1">
        <w:rPr>
          <w:rFonts w:ascii="Calibri Light" w:hAnsi="Calibri Light" w:cs="Calibri Light"/>
          <w:sz w:val="24"/>
          <w:szCs w:val="24"/>
        </w:rPr>
        <w:t xml:space="preserve"> vysoká škola uvede část II vyhodnocením uskutečňování daného studijního programu spolu s</w:t>
      </w:r>
      <w:r w:rsidR="00367EEE" w:rsidRPr="000052E1">
        <w:rPr>
          <w:rFonts w:ascii="Calibri Light" w:hAnsi="Calibri Light" w:cs="Calibri Light"/>
          <w:sz w:val="24"/>
          <w:szCs w:val="24"/>
        </w:rPr>
        <w:t>e stručným</w:t>
      </w:r>
      <w:r w:rsidRPr="000052E1">
        <w:rPr>
          <w:rFonts w:ascii="Calibri Light" w:hAnsi="Calibri Light" w:cs="Calibri Light"/>
          <w:sz w:val="24"/>
          <w:szCs w:val="24"/>
        </w:rPr>
        <w:t xml:space="preserve"> popisem a odůvodněním změn provedených oproti předchozí akreditaci.</w:t>
      </w:r>
    </w:p>
    <w:p w14:paraId="37FDE569" w14:textId="77777777" w:rsidR="00C941C9" w:rsidRPr="000052E1" w:rsidRDefault="00C941C9" w:rsidP="007702D1">
      <w:pPr>
        <w:tabs>
          <w:tab w:val="left" w:pos="2835"/>
        </w:tabs>
        <w:spacing w:before="120" w:after="120"/>
        <w:jc w:val="both"/>
      </w:pPr>
    </w:p>
    <w:p w14:paraId="209B81BD" w14:textId="77777777" w:rsidR="009E517D" w:rsidRPr="000052E1" w:rsidRDefault="009E517D" w:rsidP="007702D1">
      <w:pPr>
        <w:pStyle w:val="Nadpis2"/>
        <w:jc w:val="both"/>
      </w:pPr>
      <w:r w:rsidRPr="000052E1">
        <w:t xml:space="preserve">Soulad studijního programu s posláním vysoké školy a mezinárodní rozměr studijního programu </w:t>
      </w:r>
    </w:p>
    <w:p w14:paraId="162D1927" w14:textId="415916E2" w:rsidR="00830B9E" w:rsidRPr="000052E1" w:rsidRDefault="00002FD9" w:rsidP="007702D1">
      <w:pPr>
        <w:pStyle w:val="Nadpis3"/>
        <w:ind w:left="993" w:hanging="284"/>
        <w:jc w:val="both"/>
      </w:pPr>
      <w:r w:rsidRPr="000052E1">
        <w:t xml:space="preserve">Standard 2.1 </w:t>
      </w:r>
      <w:r w:rsidR="009E517D" w:rsidRPr="000052E1">
        <w:t>Soulad studijního programu s</w:t>
      </w:r>
      <w:r w:rsidR="000F6D6F" w:rsidRPr="000052E1">
        <w:t> </w:t>
      </w:r>
      <w:r w:rsidR="009E517D" w:rsidRPr="000052E1">
        <w:t>posláním</w:t>
      </w:r>
      <w:r w:rsidR="000F6D6F" w:rsidRPr="000052E1">
        <w:t>, misí</w:t>
      </w:r>
      <w:r w:rsidR="009E517D" w:rsidRPr="000052E1">
        <w:t xml:space="preserve"> a strategickými dokumenty vysoké školy</w:t>
      </w:r>
    </w:p>
    <w:p w14:paraId="08CCF98B" w14:textId="47FB7E67" w:rsidR="009E517D" w:rsidRPr="000052E1" w:rsidRDefault="009E517D" w:rsidP="007702D1">
      <w:pPr>
        <w:pStyle w:val="Nadpis3"/>
        <w:numPr>
          <w:ilvl w:val="0"/>
          <w:numId w:val="0"/>
        </w:numPr>
        <w:spacing w:before="120" w:after="120"/>
        <w:ind w:left="993"/>
        <w:jc w:val="both"/>
      </w:pPr>
      <w:r w:rsidRPr="000052E1">
        <w:tab/>
      </w:r>
      <w:r w:rsidRPr="000052E1">
        <w:tab/>
      </w:r>
      <w:r w:rsidRPr="000052E1">
        <w:tab/>
      </w:r>
      <w:r w:rsidRPr="000052E1">
        <w:tab/>
      </w:r>
    </w:p>
    <w:p w14:paraId="3A8E00B8" w14:textId="308B404D" w:rsidR="009E517D" w:rsidRPr="000052E1" w:rsidRDefault="00002FD9" w:rsidP="007702D1">
      <w:pPr>
        <w:pStyle w:val="Nadpis3"/>
        <w:ind w:left="993" w:hanging="273"/>
        <w:jc w:val="both"/>
      </w:pPr>
      <w:r w:rsidRPr="000052E1">
        <w:t xml:space="preserve">Standard 2.2 </w:t>
      </w:r>
      <w:r w:rsidR="009E517D" w:rsidRPr="000052E1">
        <w:t>Souvislost s tvůrčí činností vysoké školy</w:t>
      </w:r>
    </w:p>
    <w:p w14:paraId="4E14F54E" w14:textId="61D73134" w:rsidR="009E517D" w:rsidRPr="000052E1" w:rsidRDefault="009E517D" w:rsidP="007702D1">
      <w:pPr>
        <w:spacing w:before="120" w:after="120"/>
        <w:ind w:left="3540"/>
        <w:jc w:val="both"/>
      </w:pPr>
    </w:p>
    <w:p w14:paraId="15137EBD" w14:textId="7F05E8AD" w:rsidR="009E517D" w:rsidRPr="000052E1" w:rsidRDefault="00002FD9" w:rsidP="007702D1">
      <w:pPr>
        <w:pStyle w:val="Nadpis3"/>
        <w:jc w:val="both"/>
      </w:pPr>
      <w:r w:rsidRPr="000052E1">
        <w:t xml:space="preserve">Standard 2.3 </w:t>
      </w:r>
      <w:r w:rsidR="009E517D" w:rsidRPr="000052E1">
        <w:t>Mezinárodní rozměr studijního programu</w:t>
      </w:r>
    </w:p>
    <w:p w14:paraId="27F1E47D" w14:textId="35CC3D67" w:rsidR="009E517D" w:rsidRPr="000052E1" w:rsidRDefault="009E517D" w:rsidP="007702D1">
      <w:pPr>
        <w:ind w:left="2832" w:firstLine="708"/>
        <w:jc w:val="both"/>
      </w:pPr>
    </w:p>
    <w:p w14:paraId="05D7625C" w14:textId="77777777" w:rsidR="009E517D" w:rsidRPr="000052E1" w:rsidRDefault="009E517D" w:rsidP="007702D1">
      <w:pPr>
        <w:pStyle w:val="Nadpis2"/>
        <w:jc w:val="both"/>
      </w:pPr>
      <w:r w:rsidRPr="000052E1">
        <w:t xml:space="preserve">Profil absolventa a obsah studia </w:t>
      </w:r>
    </w:p>
    <w:p w14:paraId="1B6954DB" w14:textId="5CADA785" w:rsidR="00007A2C" w:rsidRPr="000052E1" w:rsidRDefault="00007A2C" w:rsidP="007702D1">
      <w:pPr>
        <w:spacing w:before="120" w:after="120"/>
        <w:jc w:val="both"/>
        <w:rPr>
          <w:rFonts w:ascii="Calibri Light" w:hAnsi="Calibri Light" w:cs="Calibri Light"/>
          <w:sz w:val="24"/>
          <w:szCs w:val="24"/>
        </w:rPr>
      </w:pPr>
      <w:r w:rsidRPr="000052E1">
        <w:rPr>
          <w:rFonts w:ascii="Calibri Light" w:hAnsi="Calibri Light" w:cs="Calibri Light"/>
          <w:sz w:val="24"/>
          <w:szCs w:val="24"/>
        </w:rPr>
        <w:t xml:space="preserve">Vysoká škola na tomto místě zhodnotí a odůvodní oblast(i) vzdělávání, do které(ých) studijní program zařadila. </w:t>
      </w:r>
    </w:p>
    <w:p w14:paraId="67897EFC" w14:textId="77777777" w:rsidR="00210F43" w:rsidRPr="000052E1" w:rsidRDefault="00210F43" w:rsidP="007702D1">
      <w:pPr>
        <w:spacing w:before="120" w:after="120"/>
        <w:jc w:val="both"/>
        <w:rPr>
          <w:rFonts w:ascii="Calibri Light" w:hAnsi="Calibri Light" w:cs="Calibri Light"/>
          <w:sz w:val="24"/>
          <w:szCs w:val="24"/>
        </w:rPr>
      </w:pPr>
    </w:p>
    <w:p w14:paraId="32E519D2" w14:textId="74002EDD" w:rsidR="009E517D" w:rsidRPr="000052E1" w:rsidRDefault="00EF19B1" w:rsidP="007702D1">
      <w:pPr>
        <w:pStyle w:val="Nadpis3"/>
        <w:jc w:val="both"/>
      </w:pPr>
      <w:r w:rsidRPr="000052E1">
        <w:t xml:space="preserve">WFME 2.1, </w:t>
      </w:r>
      <w:r w:rsidR="00002FD9" w:rsidRPr="000052E1">
        <w:t xml:space="preserve">Standard 2.4 </w:t>
      </w:r>
      <w:r w:rsidR="009E517D" w:rsidRPr="000052E1">
        <w:t xml:space="preserve">Soulad získaných odborných znalostí, dovedností a způsobilostí s typem a profilem studijního programu </w:t>
      </w:r>
    </w:p>
    <w:p w14:paraId="1A1C622F" w14:textId="383E30EE" w:rsidR="009E517D" w:rsidRPr="000052E1" w:rsidRDefault="009E517D" w:rsidP="007702D1">
      <w:pPr>
        <w:tabs>
          <w:tab w:val="left" w:pos="2835"/>
        </w:tabs>
        <w:spacing w:before="120" w:after="120"/>
        <w:jc w:val="both"/>
      </w:pPr>
      <w:r w:rsidRPr="000052E1">
        <w:tab/>
      </w:r>
      <w:r w:rsidRPr="000052E1">
        <w:tab/>
      </w:r>
    </w:p>
    <w:p w14:paraId="4DEF7732" w14:textId="7B647E39" w:rsidR="009E517D" w:rsidRPr="000052E1" w:rsidRDefault="00002FD9" w:rsidP="007702D1">
      <w:pPr>
        <w:pStyle w:val="Nadpis3"/>
        <w:jc w:val="both"/>
      </w:pPr>
      <w:r w:rsidRPr="000052E1">
        <w:t xml:space="preserve">Standard 2.5 </w:t>
      </w:r>
      <w:r w:rsidR="009E517D" w:rsidRPr="000052E1">
        <w:t xml:space="preserve">Jazykové kompetence </w:t>
      </w:r>
    </w:p>
    <w:p w14:paraId="76BC95FF" w14:textId="43355546" w:rsidR="009E517D" w:rsidRPr="000052E1" w:rsidRDefault="009E517D" w:rsidP="007702D1">
      <w:pPr>
        <w:tabs>
          <w:tab w:val="left" w:pos="2835"/>
        </w:tabs>
        <w:spacing w:before="120" w:after="120"/>
        <w:jc w:val="both"/>
      </w:pPr>
      <w:r w:rsidRPr="000052E1">
        <w:tab/>
      </w:r>
      <w:r w:rsidRPr="000052E1">
        <w:tab/>
      </w:r>
    </w:p>
    <w:p w14:paraId="3BD359DD" w14:textId="1838B137" w:rsidR="009E517D" w:rsidRPr="000052E1" w:rsidRDefault="00EF19B1" w:rsidP="007702D1">
      <w:pPr>
        <w:pStyle w:val="Nadpis3"/>
        <w:jc w:val="both"/>
      </w:pPr>
      <w:r w:rsidRPr="000052E1">
        <w:t xml:space="preserve">WFME 2.2, </w:t>
      </w:r>
      <w:r w:rsidR="00002FD9" w:rsidRPr="000052E1">
        <w:t xml:space="preserve">Standard 2.6 </w:t>
      </w:r>
      <w:r w:rsidR="009E517D" w:rsidRPr="000052E1">
        <w:t>Pr</w:t>
      </w:r>
      <w:r w:rsidRPr="000052E1">
        <w:t>incipy, pr</w:t>
      </w:r>
      <w:r w:rsidR="009E517D" w:rsidRPr="000052E1">
        <w:t xml:space="preserve">avidla a podmínky utváření studijních plánů </w:t>
      </w:r>
    </w:p>
    <w:p w14:paraId="362B4170" w14:textId="7B3BE879" w:rsidR="009E517D" w:rsidRPr="000052E1" w:rsidRDefault="009E517D" w:rsidP="007702D1">
      <w:pPr>
        <w:tabs>
          <w:tab w:val="left" w:pos="2835"/>
        </w:tabs>
        <w:spacing w:before="120" w:after="120"/>
        <w:jc w:val="both"/>
      </w:pPr>
      <w:r w:rsidRPr="000052E1">
        <w:tab/>
      </w:r>
      <w:r w:rsidRPr="000052E1">
        <w:tab/>
      </w:r>
    </w:p>
    <w:p w14:paraId="347A2A79" w14:textId="5CA74E57" w:rsidR="009E517D" w:rsidRPr="000052E1" w:rsidRDefault="00002FD9" w:rsidP="007702D1">
      <w:pPr>
        <w:pStyle w:val="Nadpis3"/>
        <w:jc w:val="both"/>
      </w:pPr>
      <w:r w:rsidRPr="000052E1">
        <w:t xml:space="preserve">Standard 2.7 </w:t>
      </w:r>
      <w:r w:rsidR="009E517D" w:rsidRPr="000052E1">
        <w:t xml:space="preserve">Vymezení uplatnění absolventů </w:t>
      </w:r>
    </w:p>
    <w:p w14:paraId="4DBC340E" w14:textId="6ED60416" w:rsidR="009E517D" w:rsidRPr="000052E1" w:rsidRDefault="009E517D" w:rsidP="007702D1">
      <w:pPr>
        <w:tabs>
          <w:tab w:val="left" w:pos="2835"/>
        </w:tabs>
        <w:spacing w:before="120" w:after="120"/>
        <w:jc w:val="both"/>
      </w:pPr>
      <w:r w:rsidRPr="000052E1">
        <w:tab/>
      </w:r>
      <w:r w:rsidRPr="000052E1">
        <w:tab/>
      </w:r>
    </w:p>
    <w:p w14:paraId="4825DD98" w14:textId="57361C14" w:rsidR="009E517D" w:rsidRPr="000052E1" w:rsidRDefault="00002FD9" w:rsidP="007702D1">
      <w:pPr>
        <w:pStyle w:val="Nadpis3"/>
        <w:jc w:val="both"/>
      </w:pPr>
      <w:r w:rsidRPr="000052E1">
        <w:lastRenderedPageBreak/>
        <w:t xml:space="preserve">Standard 2.8 </w:t>
      </w:r>
      <w:r w:rsidR="009E517D" w:rsidRPr="000052E1">
        <w:t xml:space="preserve">Standardní doba studia </w:t>
      </w:r>
    </w:p>
    <w:p w14:paraId="6FB2E842" w14:textId="060AFC09" w:rsidR="009E517D" w:rsidRPr="000052E1" w:rsidRDefault="009E517D" w:rsidP="007702D1">
      <w:pPr>
        <w:tabs>
          <w:tab w:val="left" w:pos="2835"/>
        </w:tabs>
        <w:spacing w:before="120" w:after="120"/>
        <w:jc w:val="both"/>
      </w:pPr>
      <w:r w:rsidRPr="000052E1">
        <w:tab/>
      </w:r>
      <w:r w:rsidRPr="000052E1">
        <w:tab/>
      </w:r>
    </w:p>
    <w:p w14:paraId="3D85163A" w14:textId="4713E1DA" w:rsidR="009E517D" w:rsidRPr="000052E1" w:rsidRDefault="00002FD9" w:rsidP="007702D1">
      <w:pPr>
        <w:pStyle w:val="Nadpis3"/>
        <w:jc w:val="both"/>
      </w:pPr>
      <w:r w:rsidRPr="000052E1">
        <w:t xml:space="preserve">Standard 2.9 </w:t>
      </w:r>
      <w:r w:rsidR="009E517D" w:rsidRPr="000052E1">
        <w:t xml:space="preserve">Soulad obsahu studia s cíli studia a profilem absolventa </w:t>
      </w:r>
    </w:p>
    <w:p w14:paraId="3C6A10DF" w14:textId="76D5F52C" w:rsidR="009E517D" w:rsidRPr="000052E1" w:rsidRDefault="009E517D" w:rsidP="007702D1">
      <w:pPr>
        <w:spacing w:before="120" w:after="120"/>
        <w:ind w:left="3540"/>
        <w:jc w:val="both"/>
      </w:pPr>
    </w:p>
    <w:p w14:paraId="4C16038B" w14:textId="3C89A6BF" w:rsidR="009E517D" w:rsidRPr="000052E1" w:rsidRDefault="00002FD9" w:rsidP="007702D1">
      <w:pPr>
        <w:pStyle w:val="Nadpis3"/>
        <w:jc w:val="both"/>
      </w:pPr>
      <w:r w:rsidRPr="000052E1">
        <w:t>Standard 2.12</w:t>
      </w:r>
      <w:r w:rsidR="00EF19B1" w:rsidRPr="000052E1">
        <w:t>, WFME 2.3</w:t>
      </w:r>
      <w:r w:rsidRPr="000052E1">
        <w:t xml:space="preserve"> </w:t>
      </w:r>
      <w:r w:rsidR="009E517D" w:rsidRPr="000052E1">
        <w:t>Struktura</w:t>
      </w:r>
      <w:r w:rsidR="00EF19B1" w:rsidRPr="000052E1">
        <w:t>, obsah</w:t>
      </w:r>
      <w:r w:rsidR="009E517D" w:rsidRPr="000052E1">
        <w:t xml:space="preserve"> a rozsah studijních předmětů </w:t>
      </w:r>
    </w:p>
    <w:p w14:paraId="00B79506" w14:textId="56436AC1" w:rsidR="009E517D" w:rsidRPr="000052E1" w:rsidRDefault="009E517D" w:rsidP="0071736D">
      <w:pPr>
        <w:spacing w:before="120" w:after="120"/>
        <w:jc w:val="both"/>
      </w:pPr>
      <w:r w:rsidRPr="000052E1">
        <w:tab/>
      </w:r>
    </w:p>
    <w:p w14:paraId="1DDCB470" w14:textId="68BF637E" w:rsidR="009E517D" w:rsidRPr="000052E1" w:rsidRDefault="00002FD9" w:rsidP="007702D1">
      <w:pPr>
        <w:pStyle w:val="Nadpis3"/>
        <w:jc w:val="both"/>
      </w:pPr>
      <w:r w:rsidRPr="000052E1">
        <w:t xml:space="preserve">Standard 2.14 </w:t>
      </w:r>
      <w:r w:rsidR="009E517D" w:rsidRPr="000052E1">
        <w:t xml:space="preserve">Soulad obsahu studijních předmětů, státních zkoušek a kvalifikačních prací s výsledky učení a profilem absolventa  </w:t>
      </w:r>
    </w:p>
    <w:p w14:paraId="05C35C2B" w14:textId="54CA46AB" w:rsidR="009E517D" w:rsidRPr="000052E1" w:rsidRDefault="009E517D" w:rsidP="007702D1">
      <w:pPr>
        <w:ind w:left="3540"/>
        <w:jc w:val="both"/>
      </w:pPr>
    </w:p>
    <w:p w14:paraId="2BEF537B" w14:textId="77777777" w:rsidR="009E517D" w:rsidRPr="000052E1" w:rsidRDefault="009E517D" w:rsidP="007702D1">
      <w:pPr>
        <w:pStyle w:val="Nadpis2"/>
        <w:jc w:val="both"/>
      </w:pPr>
      <w:r w:rsidRPr="000052E1">
        <w:t>Vzdělávací a tvůrčí činnost ve studijním programu</w:t>
      </w:r>
    </w:p>
    <w:p w14:paraId="176270E0" w14:textId="204001CE" w:rsidR="009E517D" w:rsidRPr="000052E1" w:rsidRDefault="00002FD9" w:rsidP="007702D1">
      <w:pPr>
        <w:pStyle w:val="Nadpis3"/>
        <w:jc w:val="both"/>
      </w:pPr>
      <w:r w:rsidRPr="000052E1">
        <w:t>Standardy 3.1-3.4</w:t>
      </w:r>
      <w:r w:rsidR="00396360" w:rsidRPr="000052E1">
        <w:t>, WFME 2.4</w:t>
      </w:r>
      <w:r w:rsidRPr="000052E1">
        <w:t xml:space="preserve"> </w:t>
      </w:r>
      <w:r w:rsidR="009E517D" w:rsidRPr="000052E1">
        <w:t>Metody výuky a hodnocení výsledků studia</w:t>
      </w:r>
    </w:p>
    <w:p w14:paraId="5291F5E8" w14:textId="4493965B" w:rsidR="00396360" w:rsidRPr="000052E1" w:rsidRDefault="00396360" w:rsidP="00396360"/>
    <w:p w14:paraId="6CFBE910" w14:textId="49836C93" w:rsidR="00396360" w:rsidRPr="000052E1" w:rsidRDefault="00396360" w:rsidP="00396360">
      <w:pPr>
        <w:pStyle w:val="Nadpis3"/>
        <w:jc w:val="both"/>
      </w:pPr>
      <w:r w:rsidRPr="000052E1">
        <w:t>WFME 3.1-3.3 Hodnocení studentů</w:t>
      </w:r>
    </w:p>
    <w:p w14:paraId="3690F706" w14:textId="04E06525" w:rsidR="009E517D" w:rsidRPr="000052E1" w:rsidRDefault="009E517D" w:rsidP="007702D1">
      <w:pPr>
        <w:tabs>
          <w:tab w:val="left" w:pos="2835"/>
        </w:tabs>
        <w:spacing w:before="120" w:after="120"/>
        <w:jc w:val="both"/>
      </w:pPr>
      <w:r w:rsidRPr="000052E1">
        <w:tab/>
      </w:r>
      <w:r w:rsidRPr="000052E1">
        <w:tab/>
      </w:r>
    </w:p>
    <w:p w14:paraId="72617D1D" w14:textId="5F7E80F6" w:rsidR="009E517D" w:rsidRPr="000052E1" w:rsidRDefault="00002FD9" w:rsidP="007702D1">
      <w:pPr>
        <w:pStyle w:val="Nadpis3"/>
        <w:jc w:val="both"/>
      </w:pPr>
      <w:r w:rsidRPr="000052E1">
        <w:t>Standardy 3.5-3.</w:t>
      </w:r>
      <w:r w:rsidR="00396360" w:rsidRPr="000052E1">
        <w:t>6</w:t>
      </w:r>
      <w:r w:rsidRPr="000052E1">
        <w:t xml:space="preserve"> </w:t>
      </w:r>
      <w:r w:rsidR="009E517D" w:rsidRPr="000052E1">
        <w:t>Tvůrčí činnost vztahující se ke studijnímu programu</w:t>
      </w:r>
    </w:p>
    <w:p w14:paraId="2109BCDF" w14:textId="59161477" w:rsidR="009E517D" w:rsidRPr="000052E1" w:rsidRDefault="009E517D" w:rsidP="007702D1">
      <w:pPr>
        <w:tabs>
          <w:tab w:val="left" w:pos="2835"/>
        </w:tabs>
        <w:spacing w:before="120" w:after="120"/>
        <w:jc w:val="both"/>
      </w:pPr>
      <w:r w:rsidRPr="000052E1">
        <w:tab/>
      </w:r>
      <w:r w:rsidRPr="000052E1">
        <w:tab/>
      </w:r>
    </w:p>
    <w:p w14:paraId="37AE101E" w14:textId="77777777" w:rsidR="009E517D" w:rsidRPr="000052E1" w:rsidRDefault="009E517D" w:rsidP="007702D1">
      <w:pPr>
        <w:pStyle w:val="Nadpis2"/>
        <w:jc w:val="both"/>
      </w:pPr>
      <w:r w:rsidRPr="000052E1">
        <w:t>Finanční, materiální a další zabezpečení studijního programu</w:t>
      </w:r>
    </w:p>
    <w:p w14:paraId="2BAD22E5" w14:textId="2213376C" w:rsidR="009E517D" w:rsidRPr="000052E1" w:rsidRDefault="00002FD9" w:rsidP="007702D1">
      <w:pPr>
        <w:pStyle w:val="Nadpis3"/>
        <w:jc w:val="both"/>
      </w:pPr>
      <w:r w:rsidRPr="000052E1">
        <w:t xml:space="preserve">Standard 4.1 </w:t>
      </w:r>
      <w:r w:rsidR="009E517D" w:rsidRPr="000052E1">
        <w:t xml:space="preserve">Finanční zabezpečení studijního programu </w:t>
      </w:r>
    </w:p>
    <w:p w14:paraId="2C20766C" w14:textId="6DDD0949" w:rsidR="009E517D" w:rsidRPr="000052E1" w:rsidRDefault="009E517D" w:rsidP="007702D1">
      <w:pPr>
        <w:tabs>
          <w:tab w:val="left" w:pos="2835"/>
        </w:tabs>
        <w:spacing w:before="120" w:after="120"/>
        <w:jc w:val="both"/>
      </w:pPr>
      <w:r w:rsidRPr="000052E1">
        <w:tab/>
      </w:r>
      <w:r w:rsidRPr="000052E1">
        <w:tab/>
      </w:r>
    </w:p>
    <w:p w14:paraId="746BCECB" w14:textId="15EF8C90" w:rsidR="009E517D" w:rsidRPr="000052E1" w:rsidRDefault="00002FD9" w:rsidP="007702D1">
      <w:pPr>
        <w:pStyle w:val="Nadpis3"/>
        <w:jc w:val="both"/>
      </w:pPr>
      <w:r w:rsidRPr="000052E1">
        <w:t>Standard 4.2</w:t>
      </w:r>
      <w:r w:rsidR="00BE1071" w:rsidRPr="000052E1">
        <w:t>, WFME 6.1</w:t>
      </w:r>
      <w:r w:rsidRPr="000052E1">
        <w:t xml:space="preserve"> </w:t>
      </w:r>
      <w:r w:rsidR="009E517D" w:rsidRPr="000052E1">
        <w:t xml:space="preserve">Materiální a technické zabezpečení studijního programu </w:t>
      </w:r>
    </w:p>
    <w:p w14:paraId="66E93F79" w14:textId="6213CF9F" w:rsidR="009E517D" w:rsidRPr="000052E1" w:rsidRDefault="009E517D" w:rsidP="007702D1">
      <w:pPr>
        <w:tabs>
          <w:tab w:val="left" w:pos="2835"/>
        </w:tabs>
        <w:spacing w:before="120" w:after="120"/>
        <w:jc w:val="both"/>
      </w:pPr>
      <w:r w:rsidRPr="000052E1">
        <w:tab/>
      </w:r>
      <w:r w:rsidRPr="000052E1">
        <w:tab/>
      </w:r>
    </w:p>
    <w:p w14:paraId="1D34FD5F" w14:textId="58420BCD" w:rsidR="009E517D" w:rsidRPr="000052E1" w:rsidRDefault="00002FD9" w:rsidP="007702D1">
      <w:pPr>
        <w:pStyle w:val="Nadpis3"/>
        <w:jc w:val="both"/>
      </w:pPr>
      <w:r w:rsidRPr="000052E1">
        <w:t>Standard 4.3</w:t>
      </w:r>
      <w:r w:rsidR="00BE1071" w:rsidRPr="000052E1">
        <w:t>, WFME 6.3</w:t>
      </w:r>
      <w:r w:rsidRPr="000052E1">
        <w:t xml:space="preserve"> </w:t>
      </w:r>
      <w:r w:rsidR="009E517D" w:rsidRPr="000052E1">
        <w:t xml:space="preserve">Odborná literatura a elektronické databáze odpovídající studijnímu programu </w:t>
      </w:r>
    </w:p>
    <w:p w14:paraId="14E8D505" w14:textId="6F781B4C" w:rsidR="009E517D" w:rsidRPr="000052E1" w:rsidRDefault="009E517D" w:rsidP="007702D1">
      <w:pPr>
        <w:tabs>
          <w:tab w:val="left" w:pos="2835"/>
        </w:tabs>
        <w:spacing w:before="120" w:after="120"/>
        <w:jc w:val="both"/>
      </w:pPr>
      <w:r w:rsidRPr="000052E1">
        <w:tab/>
      </w:r>
      <w:r w:rsidRPr="000052E1">
        <w:tab/>
      </w:r>
    </w:p>
    <w:p w14:paraId="4340DA70" w14:textId="7A1AE490" w:rsidR="009E517D" w:rsidRPr="000052E1" w:rsidRDefault="00BE1071" w:rsidP="007702D1">
      <w:pPr>
        <w:pStyle w:val="Nadpis3"/>
        <w:jc w:val="both"/>
      </w:pPr>
      <w:r w:rsidRPr="000052E1">
        <w:t>WFME 6.2</w:t>
      </w:r>
      <w:r w:rsidR="00002FD9" w:rsidRPr="000052E1">
        <w:t xml:space="preserve"> </w:t>
      </w:r>
      <w:r w:rsidR="00C14B03" w:rsidRPr="000052E1">
        <w:t>Zdroje a zabezpečení klinických praxí</w:t>
      </w:r>
    </w:p>
    <w:p w14:paraId="2DF985CC" w14:textId="20D9760C" w:rsidR="009E517D" w:rsidRPr="000052E1" w:rsidRDefault="009E517D" w:rsidP="007702D1">
      <w:pPr>
        <w:spacing w:before="120" w:after="120"/>
        <w:jc w:val="both"/>
        <w:rPr>
          <w:rFonts w:ascii="Times New Roman" w:hAnsi="Times New Roman" w:cs="Times New Roman"/>
          <w:bCs/>
          <w:sz w:val="24"/>
          <w:szCs w:val="24"/>
        </w:rPr>
      </w:pPr>
      <w:r w:rsidRPr="000052E1">
        <w:tab/>
      </w:r>
      <w:r w:rsidRPr="000052E1">
        <w:tab/>
      </w:r>
      <w:r w:rsidRPr="000052E1">
        <w:tab/>
      </w:r>
      <w:r w:rsidRPr="000052E1">
        <w:tab/>
      </w:r>
      <w:r w:rsidRPr="000052E1">
        <w:tab/>
      </w:r>
    </w:p>
    <w:p w14:paraId="588EA9B1" w14:textId="77777777" w:rsidR="009E517D" w:rsidRPr="000052E1" w:rsidRDefault="009E517D" w:rsidP="007702D1">
      <w:pPr>
        <w:pStyle w:val="Nadpis2"/>
        <w:jc w:val="both"/>
      </w:pPr>
      <w:r w:rsidRPr="000052E1">
        <w:t xml:space="preserve">Garant studijního programu </w:t>
      </w:r>
    </w:p>
    <w:p w14:paraId="7410C92F" w14:textId="6CB370E8" w:rsidR="009E517D" w:rsidRPr="000052E1" w:rsidRDefault="00002FD9" w:rsidP="007702D1">
      <w:pPr>
        <w:pStyle w:val="Nadpis3"/>
        <w:jc w:val="both"/>
      </w:pPr>
      <w:r w:rsidRPr="000052E1">
        <w:t xml:space="preserve">Standard 5.1 </w:t>
      </w:r>
      <w:r w:rsidR="009E517D" w:rsidRPr="000052E1">
        <w:t xml:space="preserve">Pravomoci a odpovědnost garanta </w:t>
      </w:r>
    </w:p>
    <w:p w14:paraId="430300C4" w14:textId="644B0E76" w:rsidR="009E517D" w:rsidRPr="000052E1" w:rsidRDefault="009E517D" w:rsidP="007702D1">
      <w:pPr>
        <w:spacing w:before="120" w:after="120"/>
        <w:jc w:val="both"/>
      </w:pPr>
      <w:r w:rsidRPr="000052E1">
        <w:tab/>
      </w:r>
      <w:r w:rsidRPr="000052E1">
        <w:tab/>
      </w:r>
      <w:r w:rsidRPr="000052E1">
        <w:tab/>
      </w:r>
      <w:r w:rsidRPr="000052E1">
        <w:tab/>
      </w:r>
      <w:r w:rsidRPr="000052E1">
        <w:tab/>
      </w:r>
    </w:p>
    <w:p w14:paraId="6541403C" w14:textId="5FA0C27D" w:rsidR="009E517D" w:rsidRPr="000052E1" w:rsidRDefault="00002FD9" w:rsidP="007702D1">
      <w:pPr>
        <w:pStyle w:val="Nadpis3"/>
        <w:jc w:val="both"/>
      </w:pPr>
      <w:r w:rsidRPr="000052E1">
        <w:t xml:space="preserve">Standardy 5.2-5.4 </w:t>
      </w:r>
      <w:r w:rsidR="009E517D" w:rsidRPr="000052E1">
        <w:t>Zhodnocení osoby garanta z hlediska naplnění standardů</w:t>
      </w:r>
    </w:p>
    <w:p w14:paraId="45176BF9" w14:textId="5B318840" w:rsidR="00914DEC" w:rsidRPr="000052E1" w:rsidRDefault="00914DEC" w:rsidP="007702D1">
      <w:pPr>
        <w:spacing w:before="120" w:after="120"/>
        <w:jc w:val="both"/>
        <w:rPr>
          <w:rFonts w:ascii="Calibri Light" w:hAnsi="Calibri Light" w:cs="Calibri Light"/>
          <w:sz w:val="24"/>
          <w:szCs w:val="24"/>
        </w:rPr>
      </w:pPr>
      <w:r w:rsidRPr="000052E1">
        <w:rPr>
          <w:rFonts w:ascii="Calibri Light" w:hAnsi="Calibri Light" w:cs="Calibri Light"/>
          <w:sz w:val="24"/>
          <w:szCs w:val="24"/>
        </w:rPr>
        <w:t>Je doporučeno zahrnout též výhled perspektivy garantování studijního programu včetně uvedení případného nástupce stávajícího garanta a jeho odborné kvalifikace, je-li to relevantní.</w:t>
      </w:r>
    </w:p>
    <w:p w14:paraId="1DC42B04" w14:textId="77777777" w:rsidR="009E517D" w:rsidRPr="000052E1" w:rsidRDefault="009E517D" w:rsidP="007702D1">
      <w:pPr>
        <w:spacing w:before="120" w:after="120"/>
        <w:jc w:val="both"/>
        <w:rPr>
          <w:rFonts w:ascii="Times New Roman" w:hAnsi="Times New Roman" w:cs="Times New Roman"/>
          <w:bCs/>
          <w:sz w:val="24"/>
          <w:szCs w:val="24"/>
        </w:rPr>
      </w:pPr>
    </w:p>
    <w:p w14:paraId="09B30449" w14:textId="77777777" w:rsidR="009E517D" w:rsidRPr="000052E1" w:rsidRDefault="009E517D" w:rsidP="007702D1">
      <w:pPr>
        <w:pStyle w:val="Nadpis2"/>
        <w:jc w:val="both"/>
      </w:pPr>
      <w:r w:rsidRPr="000052E1">
        <w:lastRenderedPageBreak/>
        <w:t>Personální zabezpečení studijního programu</w:t>
      </w:r>
    </w:p>
    <w:p w14:paraId="33B8111A" w14:textId="3A628EBD" w:rsidR="009E517D" w:rsidRPr="000052E1" w:rsidRDefault="00AF1F46" w:rsidP="00487E0A">
      <w:pPr>
        <w:pStyle w:val="Nadpis3"/>
        <w:jc w:val="both"/>
      </w:pPr>
      <w:r w:rsidRPr="000052E1">
        <w:t xml:space="preserve">WFME 5.1, </w:t>
      </w:r>
      <w:r w:rsidR="00002FD9" w:rsidRPr="000052E1">
        <w:t xml:space="preserve">Standardy 6.1-6.2, </w:t>
      </w:r>
      <w:r w:rsidR="00BF71D1" w:rsidRPr="000052E1">
        <w:t xml:space="preserve">6.5, </w:t>
      </w:r>
      <w:r w:rsidR="00002FD9" w:rsidRPr="000052E1">
        <w:t xml:space="preserve">6.8 </w:t>
      </w:r>
      <w:r w:rsidR="009E517D" w:rsidRPr="000052E1">
        <w:t>Zhodnocení celkového personálního zabezpečení studijního programu z hlediska naplnění standardů</w:t>
      </w:r>
      <w:r w:rsidR="00487E0A" w:rsidRPr="000052E1">
        <w:t>, WFME 5.</w:t>
      </w:r>
      <w:r w:rsidR="002407C3" w:rsidRPr="000052E1">
        <w:t>3</w:t>
      </w:r>
      <w:r w:rsidR="00487E0A" w:rsidRPr="000052E1">
        <w:t xml:space="preserve">  Další profesní rozvoj akademických pracovníků</w:t>
      </w:r>
    </w:p>
    <w:p w14:paraId="748545FC" w14:textId="6E95B887" w:rsidR="00487E0A" w:rsidRDefault="00487E0A" w:rsidP="00487E0A">
      <w:pPr>
        <w:spacing w:before="120" w:after="120"/>
        <w:jc w:val="both"/>
        <w:rPr>
          <w:rFonts w:ascii="Calibri Light" w:hAnsi="Calibri Light" w:cs="Calibri Light"/>
          <w:sz w:val="24"/>
          <w:szCs w:val="24"/>
        </w:rPr>
      </w:pPr>
      <w:r w:rsidRPr="000052E1">
        <w:rPr>
          <w:rFonts w:ascii="Calibri Light" w:hAnsi="Calibri Light" w:cs="Calibri Light"/>
          <w:sz w:val="24"/>
          <w:szCs w:val="24"/>
        </w:rPr>
        <w:t xml:space="preserve">Je doporučeno zahrnout </w:t>
      </w:r>
      <w:r w:rsidR="0019279B">
        <w:rPr>
          <w:rFonts w:ascii="Calibri Light" w:hAnsi="Calibri Light" w:cs="Calibri Light"/>
          <w:sz w:val="24"/>
          <w:szCs w:val="24"/>
        </w:rPr>
        <w:t>rovněž</w:t>
      </w:r>
      <w:r w:rsidRPr="000052E1">
        <w:rPr>
          <w:rFonts w:ascii="Calibri Light" w:hAnsi="Calibri Light" w:cs="Calibri Light"/>
          <w:sz w:val="24"/>
          <w:szCs w:val="24"/>
        </w:rPr>
        <w:t xml:space="preserve"> výhled rozvoje personálního zabezpečení doložený konkrétními plány a opatřeními podporujícími kvalifikační růst akademických</w:t>
      </w:r>
      <w:r w:rsidRPr="00210F43">
        <w:rPr>
          <w:rFonts w:ascii="Calibri Light" w:hAnsi="Calibri Light" w:cs="Calibri Light"/>
          <w:sz w:val="24"/>
          <w:szCs w:val="24"/>
        </w:rPr>
        <w:t xml:space="preserve"> pracovníků.</w:t>
      </w:r>
    </w:p>
    <w:p w14:paraId="374518ED" w14:textId="37DAB834" w:rsidR="009E517D" w:rsidRDefault="009E517D" w:rsidP="007702D1">
      <w:pPr>
        <w:spacing w:before="120" w:after="120"/>
        <w:jc w:val="both"/>
      </w:pPr>
      <w:r>
        <w:tab/>
      </w:r>
      <w:r>
        <w:tab/>
      </w:r>
    </w:p>
    <w:p w14:paraId="70DA18EE" w14:textId="118A818A" w:rsidR="009E517D" w:rsidRDefault="00002FD9" w:rsidP="007702D1">
      <w:pPr>
        <w:pStyle w:val="Nadpis3"/>
        <w:jc w:val="both"/>
      </w:pPr>
      <w:r w:rsidRPr="00C80B17">
        <w:t>Standard</w:t>
      </w:r>
      <w:r>
        <w:t>y</w:t>
      </w:r>
      <w:r w:rsidRPr="00C80B17">
        <w:t xml:space="preserve"> 6.4, 6.9-6.10</w:t>
      </w:r>
      <w:r>
        <w:t xml:space="preserve"> </w:t>
      </w:r>
      <w:r w:rsidR="009E517D" w:rsidRPr="00035992">
        <w:t xml:space="preserve">Personální zabezpečení předmětů profilujícího základu </w:t>
      </w:r>
    </w:p>
    <w:p w14:paraId="44557137" w14:textId="44F38C02" w:rsidR="009E517D" w:rsidRDefault="009E517D" w:rsidP="007702D1">
      <w:pPr>
        <w:tabs>
          <w:tab w:val="left" w:pos="2835"/>
        </w:tabs>
        <w:spacing w:before="120" w:after="120"/>
        <w:jc w:val="both"/>
      </w:pPr>
      <w:r>
        <w:tab/>
      </w:r>
    </w:p>
    <w:p w14:paraId="22796C34" w14:textId="77777777" w:rsidR="009E517D" w:rsidRDefault="009E517D" w:rsidP="007702D1">
      <w:pPr>
        <w:pStyle w:val="Nadpis2"/>
        <w:jc w:val="both"/>
      </w:pPr>
      <w:r w:rsidRPr="00035992">
        <w:t>Specifické požadavky na zajištění studijního programu</w:t>
      </w:r>
    </w:p>
    <w:p w14:paraId="04AF3990" w14:textId="611F9F37" w:rsidR="002D135C" w:rsidRPr="000052E1" w:rsidRDefault="00002FD9" w:rsidP="007702D1">
      <w:pPr>
        <w:pStyle w:val="Nadpis3"/>
        <w:jc w:val="both"/>
      </w:pPr>
      <w:r w:rsidRPr="00C80B17">
        <w:t>Standard</w:t>
      </w:r>
      <w:r>
        <w:t>y</w:t>
      </w:r>
      <w:r w:rsidRPr="00C80B17">
        <w:t xml:space="preserve"> </w:t>
      </w:r>
      <w:r>
        <w:t xml:space="preserve">7.4-7.9 </w:t>
      </w:r>
      <w:r w:rsidR="009E517D" w:rsidRPr="00035992">
        <w:t xml:space="preserve">Uskutečňování studijního programu v cizím jazyce </w:t>
      </w:r>
      <w:r w:rsidR="009E517D" w:rsidRPr="000052E1">
        <w:t xml:space="preserve">(pouze v případě, že vysoká škola </w:t>
      </w:r>
      <w:r w:rsidR="001C342F">
        <w:t xml:space="preserve">žádá </w:t>
      </w:r>
      <w:r w:rsidR="009E517D" w:rsidRPr="000052E1">
        <w:t>o akreditaci studijního programu v cizím jazyce)</w:t>
      </w:r>
    </w:p>
    <w:p w14:paraId="1CAD5D0C" w14:textId="41D75E44" w:rsidR="00BF71D1" w:rsidRDefault="00BF71D1">
      <w:pPr>
        <w:spacing w:after="0" w:line="240" w:lineRule="auto"/>
        <w:rPr>
          <w:rFonts w:ascii="Calibri Light" w:eastAsia="Times New Roman" w:hAnsi="Calibri Light" w:cs="Times New Roman"/>
          <w:sz w:val="24"/>
          <w:szCs w:val="24"/>
        </w:rPr>
      </w:pPr>
      <w:r>
        <w:rPr>
          <w:rFonts w:ascii="Calibri Light" w:eastAsia="Times New Roman" w:hAnsi="Calibri Light" w:cs="Times New Roman"/>
          <w:sz w:val="24"/>
          <w:szCs w:val="24"/>
        </w:rPr>
        <w:br w:type="page"/>
      </w:r>
    </w:p>
    <w:p w14:paraId="1016C083" w14:textId="77777777" w:rsidR="009E517D" w:rsidRPr="000B3D78" w:rsidRDefault="009E517D" w:rsidP="000B3D78">
      <w:pPr>
        <w:tabs>
          <w:tab w:val="left" w:pos="2835"/>
        </w:tabs>
        <w:spacing w:before="120" w:after="120"/>
        <w:jc w:val="center"/>
        <w:rPr>
          <w:sz w:val="32"/>
          <w:szCs w:val="32"/>
        </w:rPr>
      </w:pPr>
      <w:r w:rsidRPr="000B3D78">
        <w:rPr>
          <w:sz w:val="32"/>
          <w:szCs w:val="32"/>
        </w:rPr>
        <w:lastRenderedPageBreak/>
        <w:t>Příloha</w:t>
      </w: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418"/>
        <w:gridCol w:w="9214"/>
      </w:tblGrid>
      <w:tr w:rsidR="00AA58C9" w:rsidRPr="00C355A6" w14:paraId="08F8E941" w14:textId="77777777" w:rsidTr="00D56A76">
        <w:trPr>
          <w:cantSplit/>
          <w:trHeight w:val="2110"/>
        </w:trPr>
        <w:tc>
          <w:tcPr>
            <w:tcW w:w="1418" w:type="dxa"/>
            <w:textDirection w:val="tbRl"/>
            <w:vAlign w:val="center"/>
          </w:tcPr>
          <w:p w14:paraId="53E41FB4" w14:textId="08E49846" w:rsidR="00AA58C9" w:rsidRPr="00C355A6" w:rsidRDefault="00875A79" w:rsidP="00C355A6">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t>Označení standardu</w:t>
            </w:r>
          </w:p>
        </w:tc>
        <w:tc>
          <w:tcPr>
            <w:tcW w:w="9214" w:type="dxa"/>
            <w:vAlign w:val="center"/>
          </w:tcPr>
          <w:p w14:paraId="71A12C7B" w14:textId="5198064D" w:rsidR="00AA58C9" w:rsidRPr="00C355A6" w:rsidRDefault="00875A79" w:rsidP="00C355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Znění s</w:t>
            </w:r>
            <w:r w:rsidR="00AA58C9" w:rsidRPr="00C355A6">
              <w:rPr>
                <w:rFonts w:ascii="Times New Roman" w:hAnsi="Times New Roman" w:cs="Times New Roman"/>
                <w:sz w:val="28"/>
                <w:szCs w:val="28"/>
              </w:rPr>
              <w:t>tandard</w:t>
            </w:r>
            <w:r>
              <w:rPr>
                <w:rFonts w:ascii="Times New Roman" w:hAnsi="Times New Roman" w:cs="Times New Roman"/>
                <w:sz w:val="28"/>
                <w:szCs w:val="28"/>
              </w:rPr>
              <w:t>u</w:t>
            </w:r>
          </w:p>
        </w:tc>
      </w:tr>
      <w:tr w:rsidR="00AA58C9" w:rsidRPr="00C355A6" w14:paraId="0883AB88" w14:textId="77777777" w:rsidTr="00D56A76">
        <w:trPr>
          <w:trHeight w:val="20"/>
        </w:trPr>
        <w:tc>
          <w:tcPr>
            <w:tcW w:w="1418" w:type="dxa"/>
            <w:tcBorders>
              <w:right w:val="nil"/>
            </w:tcBorders>
            <w:shd w:val="clear" w:color="auto" w:fill="F2F2F2" w:themeFill="background1" w:themeFillShade="F2"/>
            <w:vAlign w:val="center"/>
          </w:tcPr>
          <w:p w14:paraId="3A1A1360" w14:textId="113EB8B9" w:rsidR="00AA58C9" w:rsidRPr="00C355A6" w:rsidRDefault="00AA58C9" w:rsidP="00C355A6">
            <w:pPr>
              <w:spacing w:after="0" w:line="240" w:lineRule="auto"/>
              <w:jc w:val="center"/>
              <w:rPr>
                <w:rFonts w:ascii="Times New Roman" w:hAnsi="Times New Roman" w:cs="Times New Roman"/>
                <w:color w:val="000000"/>
              </w:rPr>
            </w:pPr>
            <w:r>
              <w:rPr>
                <w:rFonts w:ascii="Times New Roman" w:hAnsi="Times New Roman" w:cs="Times New Roman"/>
                <w:color w:val="000000"/>
              </w:rPr>
              <w:t>WFME 1</w:t>
            </w:r>
          </w:p>
        </w:tc>
        <w:tc>
          <w:tcPr>
            <w:tcW w:w="9214" w:type="dxa"/>
            <w:shd w:val="clear" w:color="auto" w:fill="F2F2F2" w:themeFill="background1" w:themeFillShade="F2"/>
          </w:tcPr>
          <w:p w14:paraId="156616C1" w14:textId="350982D2" w:rsidR="00AA58C9" w:rsidRPr="00C355A6" w:rsidRDefault="00AA58C9" w:rsidP="00C355A6">
            <w:pPr>
              <w:spacing w:after="0" w:line="240" w:lineRule="auto"/>
              <w:rPr>
                <w:rFonts w:ascii="Times New Roman" w:hAnsi="Times New Roman" w:cs="Times New Roman"/>
              </w:rPr>
            </w:pPr>
            <w:r w:rsidRPr="00AA58C9">
              <w:rPr>
                <w:rFonts w:ascii="Times New Roman" w:hAnsi="Times New Roman" w:cs="Times New Roman"/>
              </w:rPr>
              <w:t>Fakulta má veřejné prohlášení, které stanovuje její hodnoty, priority a cíle.</w:t>
            </w:r>
          </w:p>
        </w:tc>
      </w:tr>
      <w:tr w:rsidR="00AA58C9" w:rsidRPr="00C355A6" w14:paraId="5ED6F5AB" w14:textId="77777777" w:rsidTr="00932750">
        <w:trPr>
          <w:trHeight w:val="20"/>
        </w:trPr>
        <w:tc>
          <w:tcPr>
            <w:tcW w:w="1418" w:type="dxa"/>
            <w:tcBorders>
              <w:right w:val="nil"/>
            </w:tcBorders>
            <w:shd w:val="clear" w:color="auto" w:fill="D9D9D9" w:themeFill="background1" w:themeFillShade="D9"/>
            <w:vAlign w:val="center"/>
          </w:tcPr>
          <w:p w14:paraId="194DEAFD" w14:textId="77777777" w:rsidR="00AA58C9" w:rsidRPr="00C355A6" w:rsidRDefault="00AA58C9"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1.1</w:t>
            </w:r>
          </w:p>
        </w:tc>
        <w:tc>
          <w:tcPr>
            <w:tcW w:w="9214" w:type="dxa"/>
            <w:shd w:val="clear" w:color="auto" w:fill="D9D9D9" w:themeFill="background1" w:themeFillShade="D9"/>
          </w:tcPr>
          <w:p w14:paraId="5D3CB7F6" w14:textId="77777777" w:rsidR="00AA58C9" w:rsidRPr="00875A79" w:rsidRDefault="00AA58C9"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Vysoká škola má vymezen orgán vysoké školy, který plní působnost statutárního orgánu, a jsou vymezeny další orgány, jejich působnost, pravomoc a odpovědnost.</w:t>
            </w:r>
          </w:p>
        </w:tc>
      </w:tr>
      <w:tr w:rsidR="00AA58C9" w:rsidRPr="00C355A6" w14:paraId="3252D26B" w14:textId="77777777" w:rsidTr="00932750">
        <w:trPr>
          <w:trHeight w:val="20"/>
        </w:trPr>
        <w:tc>
          <w:tcPr>
            <w:tcW w:w="1418" w:type="dxa"/>
            <w:tcBorders>
              <w:right w:val="nil"/>
            </w:tcBorders>
            <w:shd w:val="clear" w:color="auto" w:fill="D9D9D9" w:themeFill="background1" w:themeFillShade="D9"/>
            <w:vAlign w:val="center"/>
          </w:tcPr>
          <w:p w14:paraId="779B83E0" w14:textId="77777777" w:rsidR="00AA58C9" w:rsidRPr="00C355A6" w:rsidRDefault="00AA58C9"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1.2</w:t>
            </w:r>
          </w:p>
        </w:tc>
        <w:tc>
          <w:tcPr>
            <w:tcW w:w="9214" w:type="dxa"/>
            <w:shd w:val="clear" w:color="auto" w:fill="D9D9D9" w:themeFill="background1" w:themeFillShade="D9"/>
          </w:tcPr>
          <w:p w14:paraId="241F11A7" w14:textId="77777777" w:rsidR="00AA58C9" w:rsidRPr="00875A79" w:rsidRDefault="00AA58C9"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Vysoká škola má vymezeny působnosti, pravomoci a odpovědnosti orgánů jejích součástí k činnostem a jednáním, která se týkají tvorby a uskutečňování studijních programů a které tvoří funkční celek.</w:t>
            </w:r>
          </w:p>
        </w:tc>
      </w:tr>
      <w:tr w:rsidR="00D56A76" w:rsidRPr="00C355A6" w14:paraId="4E322810" w14:textId="77777777" w:rsidTr="00932750">
        <w:trPr>
          <w:trHeight w:val="20"/>
        </w:trPr>
        <w:tc>
          <w:tcPr>
            <w:tcW w:w="1418" w:type="dxa"/>
            <w:tcBorders>
              <w:right w:val="nil"/>
            </w:tcBorders>
            <w:shd w:val="clear" w:color="auto" w:fill="D9D9D9" w:themeFill="background1" w:themeFillShade="D9"/>
            <w:vAlign w:val="center"/>
          </w:tcPr>
          <w:p w14:paraId="05F5702F" w14:textId="57C0FD3D" w:rsidR="00D56A76" w:rsidRPr="00C355A6" w:rsidRDefault="00D56A76" w:rsidP="00C355A6">
            <w:pPr>
              <w:spacing w:after="0" w:line="240" w:lineRule="auto"/>
              <w:jc w:val="center"/>
              <w:rPr>
                <w:rFonts w:ascii="Times New Roman" w:hAnsi="Times New Roman" w:cs="Times New Roman"/>
                <w:color w:val="000000"/>
              </w:rPr>
            </w:pPr>
            <w:r>
              <w:rPr>
                <w:rFonts w:ascii="Times New Roman" w:hAnsi="Times New Roman" w:cs="Times New Roman"/>
                <w:color w:val="000000"/>
              </w:rPr>
              <w:t>WFME 8.1</w:t>
            </w:r>
          </w:p>
        </w:tc>
        <w:tc>
          <w:tcPr>
            <w:tcW w:w="9214" w:type="dxa"/>
            <w:shd w:val="clear" w:color="auto" w:fill="D9D9D9" w:themeFill="background1" w:themeFillShade="D9"/>
          </w:tcPr>
          <w:p w14:paraId="33DD5C7E" w14:textId="5E62ACC4" w:rsidR="00D56A76" w:rsidRPr="00875A79" w:rsidRDefault="00D56A76"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Fakulta má definovanou strukturu řízení ve vztahu k výuce, studiu, výzkumu a přidělování zdrojů, která je transparentní a přístupná všem stakeholderům, je v souladu s misí a funkcemi fakulty a zajišťuje stabilitu instituce.</w:t>
            </w:r>
          </w:p>
        </w:tc>
      </w:tr>
      <w:tr w:rsidR="00D56A76" w:rsidRPr="00C355A6" w14:paraId="0146C88E" w14:textId="77777777" w:rsidTr="00932750">
        <w:trPr>
          <w:trHeight w:val="20"/>
        </w:trPr>
        <w:tc>
          <w:tcPr>
            <w:tcW w:w="1418" w:type="dxa"/>
            <w:tcBorders>
              <w:right w:val="nil"/>
            </w:tcBorders>
            <w:shd w:val="clear" w:color="auto" w:fill="D9D9D9" w:themeFill="background1" w:themeFillShade="D9"/>
            <w:vAlign w:val="center"/>
          </w:tcPr>
          <w:p w14:paraId="224B8AF6" w14:textId="1DEDCB60" w:rsidR="00D56A76" w:rsidRPr="00C355A6" w:rsidRDefault="00D56A76" w:rsidP="00C355A6">
            <w:pPr>
              <w:spacing w:after="0" w:line="240" w:lineRule="auto"/>
              <w:jc w:val="center"/>
              <w:rPr>
                <w:rFonts w:ascii="Times New Roman" w:hAnsi="Times New Roman" w:cs="Times New Roman"/>
                <w:color w:val="000000"/>
              </w:rPr>
            </w:pPr>
            <w:r>
              <w:rPr>
                <w:rFonts w:ascii="Times New Roman" w:hAnsi="Times New Roman" w:cs="Times New Roman"/>
                <w:color w:val="000000"/>
              </w:rPr>
              <w:t>WFME 8.2</w:t>
            </w:r>
          </w:p>
        </w:tc>
        <w:tc>
          <w:tcPr>
            <w:tcW w:w="9214" w:type="dxa"/>
            <w:shd w:val="clear" w:color="auto" w:fill="D9D9D9" w:themeFill="background1" w:themeFillShade="D9"/>
          </w:tcPr>
          <w:p w14:paraId="471EBD08" w14:textId="4C080FD2" w:rsidR="00D56A76" w:rsidRPr="00875A79" w:rsidRDefault="00D56A76"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Fakulta má vypracovány a zavedeny zásady a postupy pro zapojení nebo konzultace studentů a akademických pracovníků v klíčových aspektech řízení fakulty a vzdělávacích aktivitách a procesech.</w:t>
            </w:r>
          </w:p>
        </w:tc>
      </w:tr>
      <w:tr w:rsidR="00D56A76" w:rsidRPr="00C355A6" w14:paraId="1B9CE25F" w14:textId="77777777" w:rsidTr="00932750">
        <w:trPr>
          <w:trHeight w:val="20"/>
        </w:trPr>
        <w:tc>
          <w:tcPr>
            <w:tcW w:w="1418" w:type="dxa"/>
            <w:tcBorders>
              <w:right w:val="nil"/>
            </w:tcBorders>
            <w:shd w:val="clear" w:color="auto" w:fill="D9D9D9" w:themeFill="background1" w:themeFillShade="D9"/>
            <w:vAlign w:val="center"/>
          </w:tcPr>
          <w:p w14:paraId="16CBAEBB" w14:textId="12AFDB73" w:rsidR="00D56A76" w:rsidRPr="00C355A6" w:rsidRDefault="00D56A76" w:rsidP="00C355A6">
            <w:pPr>
              <w:spacing w:after="0" w:line="240" w:lineRule="auto"/>
              <w:jc w:val="center"/>
              <w:rPr>
                <w:rFonts w:ascii="Times New Roman" w:hAnsi="Times New Roman" w:cs="Times New Roman"/>
                <w:color w:val="000000"/>
              </w:rPr>
            </w:pPr>
            <w:r>
              <w:rPr>
                <w:rFonts w:ascii="Times New Roman" w:hAnsi="Times New Roman" w:cs="Times New Roman"/>
                <w:color w:val="000000"/>
              </w:rPr>
              <w:t>WFME 8.3</w:t>
            </w:r>
          </w:p>
        </w:tc>
        <w:tc>
          <w:tcPr>
            <w:tcW w:w="9214" w:type="dxa"/>
            <w:shd w:val="clear" w:color="auto" w:fill="D9D9D9" w:themeFill="background1" w:themeFillShade="D9"/>
          </w:tcPr>
          <w:p w14:paraId="1EFAEE83" w14:textId="6B51188F" w:rsidR="00D56A76" w:rsidRPr="00875A79" w:rsidRDefault="00D56A76"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Fakulta má přiměřenou a dostatečnou administrativní podporu pro dosažení svých cílů ve výuce, studiu a výzkumu.</w:t>
            </w:r>
          </w:p>
        </w:tc>
      </w:tr>
      <w:tr w:rsidR="00932750" w:rsidRPr="00C355A6" w14:paraId="2066239C" w14:textId="77777777" w:rsidTr="00932750">
        <w:trPr>
          <w:trHeight w:val="20"/>
        </w:trPr>
        <w:tc>
          <w:tcPr>
            <w:tcW w:w="1418" w:type="dxa"/>
            <w:tcBorders>
              <w:right w:val="nil"/>
            </w:tcBorders>
            <w:shd w:val="clear" w:color="auto" w:fill="F2F2F2" w:themeFill="background1" w:themeFillShade="F2"/>
            <w:vAlign w:val="center"/>
          </w:tcPr>
          <w:p w14:paraId="514F06E4" w14:textId="09F26B0F" w:rsidR="00932750" w:rsidRPr="00C355A6" w:rsidRDefault="00932750" w:rsidP="00C355A6">
            <w:pPr>
              <w:spacing w:after="0" w:line="240" w:lineRule="auto"/>
              <w:jc w:val="center"/>
              <w:rPr>
                <w:rFonts w:ascii="Times New Roman" w:hAnsi="Times New Roman" w:cs="Times New Roman"/>
                <w:color w:val="000000"/>
              </w:rPr>
            </w:pPr>
            <w:r>
              <w:rPr>
                <w:rFonts w:ascii="Times New Roman" w:hAnsi="Times New Roman" w:cs="Times New Roman"/>
                <w:color w:val="000000"/>
              </w:rPr>
              <w:t>WFME 7</w:t>
            </w:r>
          </w:p>
        </w:tc>
        <w:tc>
          <w:tcPr>
            <w:tcW w:w="9214" w:type="dxa"/>
            <w:shd w:val="clear" w:color="auto" w:fill="F2F2F2" w:themeFill="background1" w:themeFillShade="F2"/>
          </w:tcPr>
          <w:p w14:paraId="5FC840AD" w14:textId="65C926C2" w:rsidR="00932750" w:rsidRPr="00875A79" w:rsidRDefault="00932750"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Fakulta zavedla systém zajišťování kvality, který se zabývá vzdělávací, administrativní a výzkumnou činnosti fakulty.</w:t>
            </w:r>
          </w:p>
        </w:tc>
      </w:tr>
      <w:tr w:rsidR="00AA58C9" w:rsidRPr="00C355A6" w14:paraId="20274569" w14:textId="77777777" w:rsidTr="00932750">
        <w:trPr>
          <w:trHeight w:val="20"/>
        </w:trPr>
        <w:tc>
          <w:tcPr>
            <w:tcW w:w="1418" w:type="dxa"/>
            <w:tcBorders>
              <w:right w:val="nil"/>
            </w:tcBorders>
            <w:shd w:val="clear" w:color="auto" w:fill="F2F2F2" w:themeFill="background1" w:themeFillShade="F2"/>
            <w:vAlign w:val="center"/>
          </w:tcPr>
          <w:p w14:paraId="2E5F1B1A" w14:textId="77777777" w:rsidR="00AA58C9" w:rsidRPr="00C355A6" w:rsidRDefault="00AA58C9"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1.3</w:t>
            </w:r>
          </w:p>
        </w:tc>
        <w:tc>
          <w:tcPr>
            <w:tcW w:w="9214" w:type="dxa"/>
            <w:shd w:val="clear" w:color="auto" w:fill="F2F2F2" w:themeFill="background1" w:themeFillShade="F2"/>
          </w:tcPr>
          <w:p w14:paraId="119F922F" w14:textId="77777777" w:rsidR="00AA58C9" w:rsidRPr="00875A79" w:rsidRDefault="00AA58C9"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Na všech úrovních řízení vysoké školy jsou vymezeny pravomoci a odpovědnost za kvalitu vzdělávací činnosti, tvůrčí činnosti a s nimi souvisejících činností tak, aby tvořily funkční celek.</w:t>
            </w:r>
          </w:p>
        </w:tc>
      </w:tr>
      <w:tr w:rsidR="00AA58C9" w:rsidRPr="00C355A6" w14:paraId="16F2C4AF" w14:textId="77777777" w:rsidTr="00932750">
        <w:trPr>
          <w:trHeight w:val="20"/>
        </w:trPr>
        <w:tc>
          <w:tcPr>
            <w:tcW w:w="1418" w:type="dxa"/>
            <w:tcBorders>
              <w:right w:val="nil"/>
            </w:tcBorders>
            <w:shd w:val="clear" w:color="auto" w:fill="F2F2F2" w:themeFill="background1" w:themeFillShade="F2"/>
            <w:vAlign w:val="center"/>
          </w:tcPr>
          <w:p w14:paraId="1D9E8066" w14:textId="77777777" w:rsidR="00AA58C9" w:rsidRPr="00C355A6" w:rsidRDefault="00AA58C9"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1.4</w:t>
            </w:r>
          </w:p>
        </w:tc>
        <w:tc>
          <w:tcPr>
            <w:tcW w:w="9214" w:type="dxa"/>
            <w:shd w:val="clear" w:color="auto" w:fill="F2F2F2" w:themeFill="background1" w:themeFillShade="F2"/>
          </w:tcPr>
          <w:p w14:paraId="64B085D2" w14:textId="77777777" w:rsidR="00AA58C9" w:rsidRPr="00875A79" w:rsidRDefault="00AA58C9"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Vnitřním předpisem vysoké školy jsou podrobněji vymezeny procesy vzniku, schvalování a změn návrhů studijních programů před jejich předložením k akreditaci Národnímu akreditačnímu úřadu pro vysoké školství.</w:t>
            </w:r>
          </w:p>
        </w:tc>
      </w:tr>
      <w:tr w:rsidR="00932750" w:rsidRPr="00C355A6" w14:paraId="6C7553F2" w14:textId="77777777" w:rsidTr="00932750">
        <w:trPr>
          <w:trHeight w:val="20"/>
        </w:trPr>
        <w:tc>
          <w:tcPr>
            <w:tcW w:w="1418" w:type="dxa"/>
            <w:tcBorders>
              <w:right w:val="nil"/>
            </w:tcBorders>
            <w:shd w:val="clear" w:color="auto" w:fill="F2F2F2" w:themeFill="background1" w:themeFillShade="F2"/>
            <w:vAlign w:val="center"/>
          </w:tcPr>
          <w:p w14:paraId="58807CE8" w14:textId="3FE71836" w:rsidR="00932750" w:rsidRPr="00C355A6" w:rsidRDefault="00932750" w:rsidP="00C355A6">
            <w:pPr>
              <w:spacing w:after="0" w:line="240" w:lineRule="auto"/>
              <w:jc w:val="center"/>
              <w:rPr>
                <w:rFonts w:ascii="Times New Roman" w:hAnsi="Times New Roman" w:cs="Times New Roman"/>
                <w:color w:val="000000"/>
              </w:rPr>
            </w:pPr>
            <w:r>
              <w:rPr>
                <w:rFonts w:ascii="Times New Roman" w:hAnsi="Times New Roman" w:cs="Times New Roman"/>
                <w:color w:val="000000"/>
              </w:rPr>
              <w:t>WFME 4.1</w:t>
            </w:r>
          </w:p>
        </w:tc>
        <w:tc>
          <w:tcPr>
            <w:tcW w:w="9214" w:type="dxa"/>
            <w:shd w:val="clear" w:color="auto" w:fill="F2F2F2" w:themeFill="background1" w:themeFillShade="F2"/>
          </w:tcPr>
          <w:p w14:paraId="5444BF8D" w14:textId="3C2A2624" w:rsidR="00932750" w:rsidRPr="00875A79" w:rsidRDefault="00932750"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Fakulta má veřejně přístupné vnitřní předpisy, které stanovují cíle, zásady a procesy pro přijímání studentů a náležitosti přijímacího řízení</w:t>
            </w:r>
            <w:r w:rsidR="00936C2B" w:rsidRPr="00875A79">
              <w:rPr>
                <w:rFonts w:ascii="Times New Roman" w:hAnsi="Times New Roman" w:cs="Times New Roman"/>
                <w:color w:val="000000"/>
              </w:rPr>
              <w:t>.</w:t>
            </w:r>
          </w:p>
        </w:tc>
      </w:tr>
      <w:tr w:rsidR="00AA58C9" w:rsidRPr="00C355A6" w14:paraId="01D6F6F5" w14:textId="77777777" w:rsidTr="00932750">
        <w:trPr>
          <w:trHeight w:val="20"/>
        </w:trPr>
        <w:tc>
          <w:tcPr>
            <w:tcW w:w="1418" w:type="dxa"/>
            <w:tcBorders>
              <w:right w:val="nil"/>
            </w:tcBorders>
            <w:shd w:val="clear" w:color="auto" w:fill="F2F2F2" w:themeFill="background1" w:themeFillShade="F2"/>
            <w:vAlign w:val="center"/>
          </w:tcPr>
          <w:p w14:paraId="7A701F19" w14:textId="77777777" w:rsidR="00AA58C9" w:rsidRPr="00C355A6" w:rsidRDefault="00AA58C9"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1.5</w:t>
            </w:r>
          </w:p>
        </w:tc>
        <w:tc>
          <w:tcPr>
            <w:tcW w:w="9214" w:type="dxa"/>
            <w:shd w:val="clear" w:color="auto" w:fill="F2F2F2" w:themeFill="background1" w:themeFillShade="F2"/>
          </w:tcPr>
          <w:p w14:paraId="3A6604C2" w14:textId="77777777" w:rsidR="00AA58C9" w:rsidRPr="00875A79" w:rsidRDefault="00AA58C9"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Pokud vysoká škola hodlá posuzovat splnění podmínek pro přijetí ke studiu ve studijním programu s použitím ustanovení § 48 odst. 4 písm. d) nebo § 48 odst. 5 písm. c) zákona o vysokých školách, jsou vytvořena pravidla, stanoveny principy a popsán proces posuzování splnění podmínky předchozího vzdělání.</w:t>
            </w:r>
          </w:p>
        </w:tc>
      </w:tr>
      <w:tr w:rsidR="00AA58C9" w:rsidRPr="00C355A6" w14:paraId="15A9ACA7" w14:textId="77777777" w:rsidTr="00932750">
        <w:trPr>
          <w:trHeight w:val="20"/>
        </w:trPr>
        <w:tc>
          <w:tcPr>
            <w:tcW w:w="1418" w:type="dxa"/>
            <w:tcBorders>
              <w:right w:val="nil"/>
            </w:tcBorders>
            <w:shd w:val="clear" w:color="auto" w:fill="F2F2F2" w:themeFill="background1" w:themeFillShade="F2"/>
            <w:vAlign w:val="center"/>
          </w:tcPr>
          <w:p w14:paraId="2ECCBD77" w14:textId="77777777" w:rsidR="00AA58C9" w:rsidRPr="00C355A6" w:rsidRDefault="00AA58C9"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1.6</w:t>
            </w:r>
          </w:p>
        </w:tc>
        <w:tc>
          <w:tcPr>
            <w:tcW w:w="9214" w:type="dxa"/>
            <w:shd w:val="clear" w:color="auto" w:fill="F2F2F2" w:themeFill="background1" w:themeFillShade="F2"/>
          </w:tcPr>
          <w:p w14:paraId="7F8D5B5D" w14:textId="77777777" w:rsidR="00AA58C9" w:rsidRPr="00875A79" w:rsidRDefault="00AA58C9"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Vysoká škola má přijata dostatečně účinná opatření zajišťující úroveň kvality kvalifikačních prací a systematicky dbá na kvalitu obhájených kvalifikačních prací a obhájených rigorózních prací. V rámci svých pravidel stanoví požadavky na způsob vedení těchto prací a kvalifikační požadavky na osoby, které vedou kvalifikační práce nebo rigorózní práce, a stanoví nejvyšší počet kvalifikačních prací nebo rigorózních prací, které může vést jedna osoba.</w:t>
            </w:r>
          </w:p>
        </w:tc>
      </w:tr>
      <w:tr w:rsidR="00AA58C9" w:rsidRPr="00C355A6" w14:paraId="67AA7E5D" w14:textId="77777777" w:rsidTr="00932750">
        <w:trPr>
          <w:trHeight w:val="20"/>
        </w:trPr>
        <w:tc>
          <w:tcPr>
            <w:tcW w:w="1418" w:type="dxa"/>
            <w:tcBorders>
              <w:right w:val="nil"/>
            </w:tcBorders>
            <w:shd w:val="clear" w:color="auto" w:fill="F2F2F2" w:themeFill="background1" w:themeFillShade="F2"/>
            <w:vAlign w:val="center"/>
          </w:tcPr>
          <w:p w14:paraId="29513732" w14:textId="77777777" w:rsidR="00AA58C9" w:rsidRPr="00C355A6" w:rsidRDefault="00AA58C9"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1.7</w:t>
            </w:r>
          </w:p>
        </w:tc>
        <w:tc>
          <w:tcPr>
            <w:tcW w:w="9214" w:type="dxa"/>
            <w:shd w:val="clear" w:color="auto" w:fill="F2F2F2" w:themeFill="background1" w:themeFillShade="F2"/>
          </w:tcPr>
          <w:p w14:paraId="2BBF394E" w14:textId="77777777" w:rsidR="00AA58C9" w:rsidRPr="00875A79" w:rsidRDefault="00AA58C9"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Zajištění a hodnocení kvality vzdělávací, tvůrčí a s nimi souvisejících činností se opírá o procesy zpětné vazby, zejména ankety a kvantitativní a kvalitativní průzkumy, přičemž do těchto procesů jsou v reprezentativní míře zapojeni akademičtí pracovníci, studenti, věcně příslušné profesní komory, oborová sdružení nebo organizace zaměstnavatelů nebo další odborníci z praxe, s přihlédnutím k typům a případným profilům studijních programů.</w:t>
            </w:r>
          </w:p>
        </w:tc>
      </w:tr>
      <w:tr w:rsidR="00932750" w:rsidRPr="00C355A6" w14:paraId="69F801F1" w14:textId="77777777" w:rsidTr="00932750">
        <w:trPr>
          <w:trHeight w:val="20"/>
        </w:trPr>
        <w:tc>
          <w:tcPr>
            <w:tcW w:w="1418" w:type="dxa"/>
            <w:tcBorders>
              <w:right w:val="nil"/>
            </w:tcBorders>
            <w:shd w:val="clear" w:color="auto" w:fill="F2F2F2" w:themeFill="background1" w:themeFillShade="F2"/>
            <w:vAlign w:val="center"/>
          </w:tcPr>
          <w:p w14:paraId="77E7C8F8" w14:textId="71181013" w:rsidR="00932750" w:rsidRPr="00C355A6" w:rsidRDefault="00932750" w:rsidP="00C355A6">
            <w:pPr>
              <w:spacing w:after="0" w:line="240" w:lineRule="auto"/>
              <w:jc w:val="center"/>
              <w:rPr>
                <w:rFonts w:ascii="Times New Roman" w:hAnsi="Times New Roman" w:cs="Times New Roman"/>
                <w:color w:val="000000"/>
              </w:rPr>
            </w:pPr>
            <w:r>
              <w:rPr>
                <w:rFonts w:ascii="Times New Roman" w:hAnsi="Times New Roman" w:cs="Times New Roman"/>
                <w:color w:val="000000"/>
              </w:rPr>
              <w:t>WFME 3.4</w:t>
            </w:r>
          </w:p>
        </w:tc>
        <w:tc>
          <w:tcPr>
            <w:tcW w:w="9214" w:type="dxa"/>
            <w:shd w:val="clear" w:color="auto" w:fill="F2F2F2" w:themeFill="background1" w:themeFillShade="F2"/>
          </w:tcPr>
          <w:p w14:paraId="289B51C1" w14:textId="07137C91" w:rsidR="00932750" w:rsidRPr="00875A79" w:rsidRDefault="00932750" w:rsidP="00932750">
            <w:pPr>
              <w:spacing w:after="0" w:line="240" w:lineRule="auto"/>
              <w:rPr>
                <w:rFonts w:ascii="Times New Roman" w:hAnsi="Times New Roman" w:cs="Times New Roman"/>
                <w:color w:val="000000"/>
              </w:rPr>
            </w:pPr>
            <w:r w:rsidRPr="00875A79">
              <w:rPr>
                <w:rFonts w:ascii="Times New Roman" w:hAnsi="Times New Roman" w:cs="Times New Roman"/>
                <w:color w:val="000000"/>
              </w:rPr>
              <w:t>Fakulta má zavedený mechanismus pro zajištění kvality svého hodnocení</w:t>
            </w:r>
            <w:r w:rsidR="007B7D0E" w:rsidRPr="00875A79">
              <w:rPr>
                <w:rFonts w:ascii="Times New Roman" w:hAnsi="Times New Roman" w:cs="Times New Roman"/>
                <w:color w:val="000000"/>
              </w:rPr>
              <w:t xml:space="preserve"> studentů</w:t>
            </w:r>
            <w:r w:rsidRPr="00875A79">
              <w:rPr>
                <w:rFonts w:ascii="Times New Roman" w:hAnsi="Times New Roman" w:cs="Times New Roman"/>
                <w:color w:val="000000"/>
              </w:rPr>
              <w:t>.</w:t>
            </w:r>
          </w:p>
          <w:p w14:paraId="1215D0CD" w14:textId="3ADF6FE6" w:rsidR="00932750" w:rsidRPr="00875A79" w:rsidRDefault="00932750" w:rsidP="00932750">
            <w:pPr>
              <w:spacing w:after="0" w:line="240" w:lineRule="auto"/>
              <w:rPr>
                <w:rFonts w:ascii="Times New Roman" w:hAnsi="Times New Roman" w:cs="Times New Roman"/>
                <w:color w:val="000000"/>
              </w:rPr>
            </w:pPr>
            <w:r w:rsidRPr="00875A79">
              <w:rPr>
                <w:rFonts w:ascii="Times New Roman" w:hAnsi="Times New Roman" w:cs="Times New Roman"/>
                <w:color w:val="000000"/>
              </w:rPr>
              <w:t>Údaje z hodnocení jsou využity pro zlepšení výkonu akademických pracovníků, předmětů a kurzů v rámci studijního programu a instituce.</w:t>
            </w:r>
          </w:p>
        </w:tc>
      </w:tr>
      <w:tr w:rsidR="00AA58C9" w:rsidRPr="00C355A6" w14:paraId="1D13A800" w14:textId="77777777" w:rsidTr="003F3638">
        <w:trPr>
          <w:trHeight w:val="20"/>
        </w:trPr>
        <w:tc>
          <w:tcPr>
            <w:tcW w:w="1418" w:type="dxa"/>
            <w:tcBorders>
              <w:right w:val="nil"/>
            </w:tcBorders>
            <w:shd w:val="clear" w:color="auto" w:fill="F2F2F2" w:themeFill="background1" w:themeFillShade="F2"/>
            <w:vAlign w:val="center"/>
          </w:tcPr>
          <w:p w14:paraId="12BE9ADE" w14:textId="77777777" w:rsidR="00AA58C9" w:rsidRPr="00C355A6" w:rsidRDefault="00AA58C9"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1.8</w:t>
            </w:r>
          </w:p>
        </w:tc>
        <w:tc>
          <w:tcPr>
            <w:tcW w:w="9214" w:type="dxa"/>
            <w:shd w:val="clear" w:color="auto" w:fill="F2F2F2" w:themeFill="background1" w:themeFillShade="F2"/>
          </w:tcPr>
          <w:p w14:paraId="3547EB66" w14:textId="77777777" w:rsidR="00AA58C9" w:rsidRPr="00875A79" w:rsidRDefault="00AA58C9"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Vysoká škola má v oblasti vzdělávací a tvůrčí činnosti nastaveny ukazatele, jejichž prostřednictvím sleduje míru úspěšnosti v přijímacím řízení, studijní neúspěšnost ve studijním programu, míru řádného ukončení studia studijního programu a uplatnitelnost absolventů.</w:t>
            </w:r>
          </w:p>
        </w:tc>
      </w:tr>
      <w:tr w:rsidR="00AA58C9" w:rsidRPr="00C355A6" w14:paraId="36FC2E11" w14:textId="77777777" w:rsidTr="003F3638">
        <w:trPr>
          <w:trHeight w:val="20"/>
        </w:trPr>
        <w:tc>
          <w:tcPr>
            <w:tcW w:w="1418" w:type="dxa"/>
            <w:tcBorders>
              <w:right w:val="nil"/>
            </w:tcBorders>
            <w:shd w:val="clear" w:color="auto" w:fill="D9D9D9" w:themeFill="background1" w:themeFillShade="D9"/>
            <w:vAlign w:val="center"/>
          </w:tcPr>
          <w:p w14:paraId="1620BDBA" w14:textId="77777777" w:rsidR="00AA58C9" w:rsidRPr="00C355A6" w:rsidRDefault="00AA58C9"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1.9</w:t>
            </w:r>
          </w:p>
        </w:tc>
        <w:tc>
          <w:tcPr>
            <w:tcW w:w="9214" w:type="dxa"/>
            <w:shd w:val="clear" w:color="auto" w:fill="D9D9D9" w:themeFill="background1" w:themeFillShade="D9"/>
          </w:tcPr>
          <w:p w14:paraId="011B451E" w14:textId="77777777" w:rsidR="00AA58C9" w:rsidRPr="00875A79" w:rsidRDefault="00AA58C9"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 xml:space="preserve">Vzdělávací a tvůrčí činnosti vysoké školy vycházejí ze soudobých poznatků v širším kontextu a mají mezinárodní charakter s přihlédnutím k typu a případnému profilu studijních programů, zejména: jsou </w:t>
            </w:r>
            <w:r w:rsidRPr="00875A79">
              <w:rPr>
                <w:rFonts w:ascii="Times New Roman" w:hAnsi="Times New Roman" w:cs="Times New Roman"/>
                <w:color w:val="000000"/>
              </w:rPr>
              <w:lastRenderedPageBreak/>
              <w:t xml:space="preserve">uskutečňovány zahraniční mobility studentů a akademických pracovníků a jsou nabízeny studijní předměty vyučované v cizích jazycích nebo studijní programy uskutečňované v cizích jazycích. </w:t>
            </w:r>
          </w:p>
        </w:tc>
      </w:tr>
      <w:tr w:rsidR="00AA58C9" w:rsidRPr="00C355A6" w14:paraId="0EDE7EF9" w14:textId="77777777" w:rsidTr="003F3638">
        <w:trPr>
          <w:trHeight w:val="20"/>
        </w:trPr>
        <w:tc>
          <w:tcPr>
            <w:tcW w:w="1418" w:type="dxa"/>
            <w:tcBorders>
              <w:right w:val="nil"/>
            </w:tcBorders>
            <w:shd w:val="clear" w:color="auto" w:fill="D9D9D9" w:themeFill="background1" w:themeFillShade="D9"/>
            <w:vAlign w:val="center"/>
          </w:tcPr>
          <w:p w14:paraId="03802589" w14:textId="77777777" w:rsidR="00AA58C9" w:rsidRPr="00C355A6" w:rsidRDefault="00AA58C9"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lastRenderedPageBreak/>
              <w:t>1.10</w:t>
            </w:r>
          </w:p>
        </w:tc>
        <w:tc>
          <w:tcPr>
            <w:tcW w:w="9214" w:type="dxa"/>
            <w:shd w:val="clear" w:color="auto" w:fill="D9D9D9" w:themeFill="background1" w:themeFillShade="D9"/>
          </w:tcPr>
          <w:p w14:paraId="662CA6B3" w14:textId="77777777" w:rsidR="00AA58C9" w:rsidRPr="00875A79" w:rsidRDefault="00AA58C9"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Vysoká škola rozvíjí spolupráci s praxí s přihlédnutím k typům a případným profilům studijních programů. Jde zejména o praktickou výuku, zadávání bakalářských, diplomových nebo disertačních prací (dále jen „kvalifikační práce“), zadávání rigorózních prací, přiznávání stipendií a zapojování odborníků z praxe do vzdělávacího procesu.</w:t>
            </w:r>
          </w:p>
        </w:tc>
      </w:tr>
      <w:tr w:rsidR="00AA58C9" w:rsidRPr="00C355A6" w14:paraId="0C8B60DC" w14:textId="77777777" w:rsidTr="003F3638">
        <w:trPr>
          <w:trHeight w:val="20"/>
        </w:trPr>
        <w:tc>
          <w:tcPr>
            <w:tcW w:w="1418" w:type="dxa"/>
            <w:tcBorders>
              <w:right w:val="nil"/>
            </w:tcBorders>
            <w:shd w:val="clear" w:color="auto" w:fill="D9D9D9" w:themeFill="background1" w:themeFillShade="D9"/>
            <w:vAlign w:val="center"/>
          </w:tcPr>
          <w:p w14:paraId="08B9C345" w14:textId="77777777" w:rsidR="00AA58C9" w:rsidRPr="00C355A6" w:rsidRDefault="00AA58C9"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1.11</w:t>
            </w:r>
          </w:p>
        </w:tc>
        <w:tc>
          <w:tcPr>
            <w:tcW w:w="9214" w:type="dxa"/>
            <w:shd w:val="clear" w:color="auto" w:fill="D9D9D9" w:themeFill="background1" w:themeFillShade="D9"/>
          </w:tcPr>
          <w:p w14:paraId="5984D301" w14:textId="77777777" w:rsidR="00AA58C9" w:rsidRPr="00875A79" w:rsidRDefault="00AA58C9"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Vysoká škola komunikuje s profesními komorami, oborovými sdruženími, organizacemi zaměstnavatelů nebo dalšími odborníky z praxe a zjišťuje jejich očekávání a požadavky na absolventy studijních programů.</w:t>
            </w:r>
          </w:p>
        </w:tc>
      </w:tr>
      <w:tr w:rsidR="00AA58C9" w:rsidRPr="00C355A6" w14:paraId="343AFD8B" w14:textId="77777777" w:rsidTr="003F3638">
        <w:trPr>
          <w:trHeight w:val="20"/>
        </w:trPr>
        <w:tc>
          <w:tcPr>
            <w:tcW w:w="1418" w:type="dxa"/>
            <w:tcBorders>
              <w:right w:val="nil"/>
            </w:tcBorders>
            <w:shd w:val="clear" w:color="auto" w:fill="F2F2F2" w:themeFill="background1" w:themeFillShade="F2"/>
            <w:vAlign w:val="center"/>
          </w:tcPr>
          <w:p w14:paraId="5A0F87BA" w14:textId="77777777" w:rsidR="00AA58C9" w:rsidRPr="00C355A6" w:rsidRDefault="00AA58C9"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1.12</w:t>
            </w:r>
          </w:p>
        </w:tc>
        <w:tc>
          <w:tcPr>
            <w:tcW w:w="9214" w:type="dxa"/>
            <w:shd w:val="clear" w:color="auto" w:fill="F2F2F2" w:themeFill="background1" w:themeFillShade="F2"/>
          </w:tcPr>
          <w:p w14:paraId="20D6C011" w14:textId="77777777" w:rsidR="00AA58C9" w:rsidRPr="00875A79" w:rsidRDefault="00AA58C9"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Vysoká škola má vybudován funkční informační systém a komunikační prostředky, které zajišťují přístup k přesným a srozumitelným informacím o studijních programech, pravidlech studia a požadavcích spojených se studiem, k informačním a poradenským službám souvisejícím se studiem a s možností uplatnění absolventů studijních programů v praxi.</w:t>
            </w:r>
          </w:p>
        </w:tc>
      </w:tr>
      <w:tr w:rsidR="00AA58C9" w:rsidRPr="00C355A6" w14:paraId="2663F49F" w14:textId="77777777" w:rsidTr="003F3638">
        <w:trPr>
          <w:trHeight w:val="20"/>
        </w:trPr>
        <w:tc>
          <w:tcPr>
            <w:tcW w:w="1418" w:type="dxa"/>
            <w:tcBorders>
              <w:right w:val="nil"/>
            </w:tcBorders>
            <w:shd w:val="clear" w:color="auto" w:fill="F2F2F2" w:themeFill="background1" w:themeFillShade="F2"/>
            <w:vAlign w:val="center"/>
          </w:tcPr>
          <w:p w14:paraId="561D837A" w14:textId="77777777" w:rsidR="00AA58C9" w:rsidRPr="00C355A6" w:rsidRDefault="00AA58C9"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1.13</w:t>
            </w:r>
          </w:p>
        </w:tc>
        <w:tc>
          <w:tcPr>
            <w:tcW w:w="9214" w:type="dxa"/>
            <w:shd w:val="clear" w:color="auto" w:fill="F2F2F2" w:themeFill="background1" w:themeFillShade="F2"/>
          </w:tcPr>
          <w:p w14:paraId="4549D22F" w14:textId="77777777" w:rsidR="00AA58C9" w:rsidRPr="00875A79" w:rsidRDefault="00AA58C9"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Služby knihoven a elektronické zdroje pro výuku jsou s přihlédnutím k typu a případnému profilu studijního programu dostatečné a dostupné studentům a akademickým pracovníkům.</w:t>
            </w:r>
          </w:p>
        </w:tc>
      </w:tr>
      <w:tr w:rsidR="003F3638" w:rsidRPr="00C355A6" w14:paraId="0B7BA934" w14:textId="77777777" w:rsidTr="003F3638">
        <w:trPr>
          <w:trHeight w:val="20"/>
        </w:trPr>
        <w:tc>
          <w:tcPr>
            <w:tcW w:w="1418" w:type="dxa"/>
            <w:tcBorders>
              <w:right w:val="nil"/>
            </w:tcBorders>
            <w:shd w:val="clear" w:color="auto" w:fill="F2F2F2" w:themeFill="background1" w:themeFillShade="F2"/>
            <w:vAlign w:val="center"/>
          </w:tcPr>
          <w:p w14:paraId="2169777E" w14:textId="7F2EE8EA" w:rsidR="003F3638" w:rsidRPr="00C355A6" w:rsidRDefault="003F3638" w:rsidP="00C355A6">
            <w:pPr>
              <w:spacing w:after="0" w:line="240" w:lineRule="auto"/>
              <w:jc w:val="center"/>
              <w:rPr>
                <w:rFonts w:ascii="Times New Roman" w:hAnsi="Times New Roman" w:cs="Times New Roman"/>
                <w:color w:val="000000"/>
              </w:rPr>
            </w:pPr>
            <w:r>
              <w:rPr>
                <w:rFonts w:ascii="Times New Roman" w:hAnsi="Times New Roman" w:cs="Times New Roman"/>
                <w:color w:val="000000"/>
              </w:rPr>
              <w:t>WFME 4.2</w:t>
            </w:r>
          </w:p>
        </w:tc>
        <w:tc>
          <w:tcPr>
            <w:tcW w:w="9214" w:type="dxa"/>
            <w:shd w:val="clear" w:color="auto" w:fill="F2F2F2" w:themeFill="background1" w:themeFillShade="F2"/>
          </w:tcPr>
          <w:p w14:paraId="6619EBE5" w14:textId="38061682" w:rsidR="003F3638" w:rsidRPr="00875A79" w:rsidRDefault="003F3638"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Fakulta poskytuje studentům dostupné služby akademické, sociální, psychologické a finanční podpory a kariérní poradenství při zajištění ochrany osobních údajů.</w:t>
            </w:r>
          </w:p>
        </w:tc>
      </w:tr>
      <w:tr w:rsidR="00AA58C9" w:rsidRPr="00C355A6" w14:paraId="21172AB9" w14:textId="77777777" w:rsidTr="003F3638">
        <w:trPr>
          <w:trHeight w:val="20"/>
        </w:trPr>
        <w:tc>
          <w:tcPr>
            <w:tcW w:w="1418" w:type="dxa"/>
            <w:tcBorders>
              <w:right w:val="nil"/>
            </w:tcBorders>
            <w:shd w:val="clear" w:color="auto" w:fill="F2F2F2" w:themeFill="background1" w:themeFillShade="F2"/>
            <w:vAlign w:val="center"/>
          </w:tcPr>
          <w:p w14:paraId="63AC417D" w14:textId="77777777" w:rsidR="00AA58C9" w:rsidRPr="00C355A6" w:rsidRDefault="00AA58C9"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1.14</w:t>
            </w:r>
          </w:p>
        </w:tc>
        <w:tc>
          <w:tcPr>
            <w:tcW w:w="9214" w:type="dxa"/>
            <w:shd w:val="clear" w:color="auto" w:fill="F2F2F2" w:themeFill="background1" w:themeFillShade="F2"/>
          </w:tcPr>
          <w:p w14:paraId="62594E6C" w14:textId="77777777" w:rsidR="00AA58C9" w:rsidRPr="00875A79" w:rsidRDefault="00AA58C9"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Vysoká škola zajišťuje dostupné služby, stipendia a další podpůrná opatření pro vyrovnání příležitostí studovat na vysoké škole pro studenty se specifickými potřebami. Vysoká škola v oblasti vyrovnávání podmínek studia studentů se specifickými potřebami vychází z obecně závazných právních předpisů, dále zajišťuje poučený a lidskou důstojnost respektující přístup všech svých zaměstnanců ke studentům a uchazečům se specifickými potřebami a zajišťuje, aby poskytované služby a úpravy realizované s cílem dosáhnout přístupnosti akademického života pro studenty se specifickými potřebami nevedly ke snižování studijních nároků.</w:t>
            </w:r>
          </w:p>
        </w:tc>
      </w:tr>
      <w:tr w:rsidR="00AA58C9" w:rsidRPr="00C355A6" w14:paraId="71DD6895" w14:textId="77777777" w:rsidTr="003F3638">
        <w:trPr>
          <w:trHeight w:val="20"/>
        </w:trPr>
        <w:tc>
          <w:tcPr>
            <w:tcW w:w="1418" w:type="dxa"/>
            <w:tcBorders>
              <w:right w:val="nil"/>
            </w:tcBorders>
            <w:shd w:val="clear" w:color="auto" w:fill="F2F2F2" w:themeFill="background1" w:themeFillShade="F2"/>
            <w:vAlign w:val="center"/>
          </w:tcPr>
          <w:p w14:paraId="10CEC77D" w14:textId="77777777" w:rsidR="00AA58C9" w:rsidRPr="00C355A6" w:rsidRDefault="00AA58C9"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1.15</w:t>
            </w:r>
          </w:p>
        </w:tc>
        <w:tc>
          <w:tcPr>
            <w:tcW w:w="9214" w:type="dxa"/>
            <w:shd w:val="clear" w:color="auto" w:fill="F2F2F2" w:themeFill="background1" w:themeFillShade="F2"/>
          </w:tcPr>
          <w:p w14:paraId="67C7B670" w14:textId="77777777" w:rsidR="00AA58C9" w:rsidRPr="00875A79" w:rsidRDefault="00AA58C9"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Vysoká škola přijala dostatečně účinná opatření: k ochraně duševního vlastnictví a proti úmyslnému jednání proti dobrým mravům při studiu zejména proti plagiátorství a podvodům při studiu.</w:t>
            </w:r>
          </w:p>
        </w:tc>
      </w:tr>
      <w:tr w:rsidR="005C7F78" w:rsidRPr="00C355A6" w14:paraId="4931C7A1" w14:textId="77777777" w:rsidTr="003F3638">
        <w:trPr>
          <w:trHeight w:val="20"/>
        </w:trPr>
        <w:tc>
          <w:tcPr>
            <w:tcW w:w="1418" w:type="dxa"/>
            <w:tcBorders>
              <w:right w:val="nil"/>
            </w:tcBorders>
            <w:shd w:val="clear" w:color="auto" w:fill="F2F2F2" w:themeFill="background1" w:themeFillShade="F2"/>
            <w:vAlign w:val="center"/>
          </w:tcPr>
          <w:p w14:paraId="36B785EB" w14:textId="7D243C14" w:rsidR="005C7F78" w:rsidRPr="00C355A6" w:rsidRDefault="005C7F78" w:rsidP="00C355A6">
            <w:pPr>
              <w:spacing w:after="0" w:line="240" w:lineRule="auto"/>
              <w:jc w:val="center"/>
              <w:rPr>
                <w:rFonts w:ascii="Times New Roman" w:hAnsi="Times New Roman" w:cs="Times New Roman"/>
                <w:color w:val="000000"/>
              </w:rPr>
            </w:pPr>
            <w:r>
              <w:rPr>
                <w:rFonts w:ascii="Times New Roman" w:hAnsi="Times New Roman" w:cs="Times New Roman"/>
                <w:color w:val="000000"/>
              </w:rPr>
              <w:t>WFME 5.2</w:t>
            </w:r>
          </w:p>
        </w:tc>
        <w:tc>
          <w:tcPr>
            <w:tcW w:w="9214" w:type="dxa"/>
            <w:shd w:val="clear" w:color="auto" w:fill="F2F2F2" w:themeFill="background1" w:themeFillShade="F2"/>
          </w:tcPr>
          <w:p w14:paraId="39994D28" w14:textId="750D364C" w:rsidR="005C7F78" w:rsidRPr="00875A79" w:rsidRDefault="005C7F78"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Fakulta stanovila a sdělila svá očekávání ohledně výkonu a jednání akademických pracovníků</w:t>
            </w:r>
            <w:r w:rsidR="005C4C80" w:rsidRPr="00875A79">
              <w:rPr>
                <w:rFonts w:ascii="Times New Roman" w:hAnsi="Times New Roman" w:cs="Times New Roman"/>
                <w:color w:val="000000"/>
              </w:rPr>
              <w:t xml:space="preserve"> včetně</w:t>
            </w:r>
            <w:r w:rsidRPr="00875A79">
              <w:rPr>
                <w:rFonts w:ascii="Times New Roman" w:hAnsi="Times New Roman" w:cs="Times New Roman"/>
                <w:color w:val="000000"/>
              </w:rPr>
              <w:t xml:space="preserve"> etických principů.</w:t>
            </w:r>
          </w:p>
        </w:tc>
      </w:tr>
      <w:tr w:rsidR="00AA58C9" w:rsidRPr="00C355A6" w14:paraId="74F2BFEE" w14:textId="77777777" w:rsidTr="000F6D6F">
        <w:trPr>
          <w:trHeight w:val="20"/>
        </w:trPr>
        <w:tc>
          <w:tcPr>
            <w:tcW w:w="1418" w:type="dxa"/>
            <w:tcBorders>
              <w:right w:val="nil"/>
            </w:tcBorders>
            <w:shd w:val="clear" w:color="auto" w:fill="D9D9D9" w:themeFill="background1" w:themeFillShade="D9"/>
            <w:vAlign w:val="center"/>
          </w:tcPr>
          <w:p w14:paraId="56021ECE" w14:textId="77777777" w:rsidR="00AA58C9" w:rsidRPr="00C355A6" w:rsidRDefault="00AA58C9"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2.1</w:t>
            </w:r>
          </w:p>
        </w:tc>
        <w:tc>
          <w:tcPr>
            <w:tcW w:w="9214" w:type="dxa"/>
            <w:shd w:val="clear" w:color="auto" w:fill="D9D9D9" w:themeFill="background1" w:themeFillShade="D9"/>
          </w:tcPr>
          <w:p w14:paraId="2A649649" w14:textId="5C9A547D" w:rsidR="00AA58C9" w:rsidRPr="00875A79" w:rsidRDefault="00AA58C9"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Studijní program je z hlediska typu, formy a případného profilu v souladu s</w:t>
            </w:r>
            <w:r w:rsidR="006D15BC" w:rsidRPr="00875A79">
              <w:rPr>
                <w:rFonts w:ascii="Times New Roman" w:hAnsi="Times New Roman" w:cs="Times New Roman"/>
                <w:color w:val="000000"/>
              </w:rPr>
              <w:t> </w:t>
            </w:r>
            <w:r w:rsidRPr="00875A79">
              <w:rPr>
                <w:rFonts w:ascii="Times New Roman" w:hAnsi="Times New Roman" w:cs="Times New Roman"/>
                <w:color w:val="000000"/>
              </w:rPr>
              <w:t>posláním</w:t>
            </w:r>
            <w:r w:rsidR="006D15BC" w:rsidRPr="00875A79">
              <w:rPr>
                <w:rFonts w:ascii="Times New Roman" w:hAnsi="Times New Roman" w:cs="Times New Roman"/>
                <w:color w:val="000000"/>
              </w:rPr>
              <w:t>, misí</w:t>
            </w:r>
            <w:r w:rsidRPr="00875A79">
              <w:rPr>
                <w:rFonts w:ascii="Times New Roman" w:hAnsi="Times New Roman" w:cs="Times New Roman"/>
                <w:color w:val="000000"/>
              </w:rPr>
              <w:t xml:space="preserve"> a strategickým záměrem vysoké školy a ostatními strategickými dokumenty vysoké školy.</w:t>
            </w:r>
          </w:p>
        </w:tc>
      </w:tr>
      <w:tr w:rsidR="00AA58C9" w:rsidRPr="00C355A6" w14:paraId="3E656E5B" w14:textId="77777777" w:rsidTr="000F6D6F">
        <w:trPr>
          <w:trHeight w:val="20"/>
        </w:trPr>
        <w:tc>
          <w:tcPr>
            <w:tcW w:w="1418" w:type="dxa"/>
            <w:tcBorders>
              <w:right w:val="nil"/>
            </w:tcBorders>
            <w:shd w:val="clear" w:color="auto" w:fill="D9D9D9" w:themeFill="background1" w:themeFillShade="D9"/>
            <w:vAlign w:val="center"/>
          </w:tcPr>
          <w:p w14:paraId="1FBA14C9" w14:textId="106543CC" w:rsidR="00AA58C9" w:rsidRPr="00C355A6" w:rsidRDefault="00AA58C9"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2.2</w:t>
            </w:r>
          </w:p>
        </w:tc>
        <w:tc>
          <w:tcPr>
            <w:tcW w:w="9214" w:type="dxa"/>
            <w:shd w:val="clear" w:color="auto" w:fill="D9D9D9" w:themeFill="background1" w:themeFillShade="D9"/>
          </w:tcPr>
          <w:p w14:paraId="40BC184B" w14:textId="77777777" w:rsidR="00AA58C9" w:rsidRPr="00875A79" w:rsidRDefault="00AA58C9"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U studijního programu vysoká škola prokazuje souvislost a propojení s tvůrčí činností vysoké školy.</w:t>
            </w:r>
          </w:p>
        </w:tc>
      </w:tr>
      <w:tr w:rsidR="00AA58C9" w:rsidRPr="00C355A6" w14:paraId="3E35AEB4" w14:textId="77777777" w:rsidTr="000F6D6F">
        <w:trPr>
          <w:trHeight w:val="20"/>
        </w:trPr>
        <w:tc>
          <w:tcPr>
            <w:tcW w:w="1418" w:type="dxa"/>
            <w:tcBorders>
              <w:right w:val="nil"/>
            </w:tcBorders>
            <w:shd w:val="clear" w:color="auto" w:fill="D9D9D9" w:themeFill="background1" w:themeFillShade="D9"/>
            <w:vAlign w:val="center"/>
          </w:tcPr>
          <w:p w14:paraId="4AEDD6ED" w14:textId="77777777" w:rsidR="00AA58C9" w:rsidRPr="00C355A6" w:rsidRDefault="00AA58C9"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2.3</w:t>
            </w:r>
          </w:p>
        </w:tc>
        <w:tc>
          <w:tcPr>
            <w:tcW w:w="9214" w:type="dxa"/>
            <w:shd w:val="clear" w:color="auto" w:fill="D9D9D9" w:themeFill="background1" w:themeFillShade="D9"/>
          </w:tcPr>
          <w:p w14:paraId="215B314B" w14:textId="6FACC9FE" w:rsidR="00AA58C9" w:rsidRPr="00875A79" w:rsidRDefault="00AA58C9"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Vysokou školou je zohledněn mezinárodní rozměr studijního programu, s přihlédnutím k typu a  profilu studijního programu.</w:t>
            </w:r>
          </w:p>
        </w:tc>
      </w:tr>
      <w:tr w:rsidR="00EF19B1" w:rsidRPr="00C355A6" w14:paraId="17D7AFD3" w14:textId="77777777" w:rsidTr="0071736D">
        <w:trPr>
          <w:trHeight w:val="20"/>
        </w:trPr>
        <w:tc>
          <w:tcPr>
            <w:tcW w:w="1418" w:type="dxa"/>
            <w:tcBorders>
              <w:right w:val="nil"/>
            </w:tcBorders>
            <w:shd w:val="clear" w:color="auto" w:fill="F2F2F2" w:themeFill="background1" w:themeFillShade="F2"/>
            <w:vAlign w:val="center"/>
          </w:tcPr>
          <w:p w14:paraId="79F0F97D" w14:textId="33D09CE8" w:rsidR="00EF19B1" w:rsidRPr="00C355A6" w:rsidRDefault="00EF19B1" w:rsidP="00C355A6">
            <w:pPr>
              <w:spacing w:after="0" w:line="240" w:lineRule="auto"/>
              <w:jc w:val="center"/>
              <w:rPr>
                <w:rFonts w:ascii="Times New Roman" w:hAnsi="Times New Roman" w:cs="Times New Roman"/>
                <w:color w:val="000000"/>
              </w:rPr>
            </w:pPr>
            <w:r>
              <w:rPr>
                <w:rFonts w:ascii="Times New Roman" w:hAnsi="Times New Roman" w:cs="Times New Roman"/>
                <w:color w:val="000000"/>
              </w:rPr>
              <w:t>WFME 2.1</w:t>
            </w:r>
          </w:p>
        </w:tc>
        <w:tc>
          <w:tcPr>
            <w:tcW w:w="9214" w:type="dxa"/>
            <w:shd w:val="clear" w:color="auto" w:fill="F2F2F2" w:themeFill="background1" w:themeFillShade="F2"/>
          </w:tcPr>
          <w:p w14:paraId="2CA02C7E" w14:textId="5D315AD8" w:rsidR="00EF19B1" w:rsidRPr="00875A79" w:rsidRDefault="00EF19B1"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Fakulta definovala výstupy z učení, jichž by studenti měli před zakončením studia dosáhnout, stejně jako zamýšlené výstupy z učení pro každou součást studijního programu.</w:t>
            </w:r>
          </w:p>
        </w:tc>
      </w:tr>
      <w:tr w:rsidR="00AA58C9" w:rsidRPr="00C355A6" w14:paraId="770DB43E" w14:textId="77777777" w:rsidTr="0071736D">
        <w:trPr>
          <w:trHeight w:val="20"/>
        </w:trPr>
        <w:tc>
          <w:tcPr>
            <w:tcW w:w="1418" w:type="dxa"/>
            <w:tcBorders>
              <w:right w:val="nil"/>
            </w:tcBorders>
            <w:shd w:val="clear" w:color="auto" w:fill="F2F2F2" w:themeFill="background1" w:themeFillShade="F2"/>
            <w:vAlign w:val="center"/>
          </w:tcPr>
          <w:p w14:paraId="2C7C0B2E" w14:textId="77777777" w:rsidR="00AA58C9" w:rsidRPr="00C355A6" w:rsidRDefault="00AA58C9"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2.4</w:t>
            </w:r>
          </w:p>
        </w:tc>
        <w:tc>
          <w:tcPr>
            <w:tcW w:w="9214" w:type="dxa"/>
            <w:shd w:val="clear" w:color="auto" w:fill="F2F2F2" w:themeFill="background1" w:themeFillShade="F2"/>
          </w:tcPr>
          <w:p w14:paraId="2DC5AABF" w14:textId="2FB28BE0" w:rsidR="00AA58C9" w:rsidRPr="00875A79" w:rsidRDefault="00AA58C9"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Odborné znalosti, odborné dovednosti a obecné způsobilosti, které si absolventi studijního programu osvojují, jsou v souladu s daným typem a profilem studijního programu.</w:t>
            </w:r>
          </w:p>
        </w:tc>
      </w:tr>
      <w:tr w:rsidR="00AA58C9" w:rsidRPr="00C355A6" w14:paraId="14C7F069" w14:textId="77777777" w:rsidTr="0071736D">
        <w:trPr>
          <w:trHeight w:val="20"/>
        </w:trPr>
        <w:tc>
          <w:tcPr>
            <w:tcW w:w="1418" w:type="dxa"/>
            <w:tcBorders>
              <w:right w:val="nil"/>
            </w:tcBorders>
            <w:shd w:val="clear" w:color="auto" w:fill="F2F2F2" w:themeFill="background1" w:themeFillShade="F2"/>
            <w:vAlign w:val="center"/>
          </w:tcPr>
          <w:p w14:paraId="63C8B145" w14:textId="77777777" w:rsidR="00AA58C9" w:rsidRPr="00C355A6" w:rsidRDefault="00AA58C9"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2.5</w:t>
            </w:r>
          </w:p>
        </w:tc>
        <w:tc>
          <w:tcPr>
            <w:tcW w:w="9214" w:type="dxa"/>
            <w:shd w:val="clear" w:color="auto" w:fill="F2F2F2" w:themeFill="background1" w:themeFillShade="F2"/>
          </w:tcPr>
          <w:p w14:paraId="2545A2EC" w14:textId="77777777" w:rsidR="00AA58C9" w:rsidRPr="00875A79" w:rsidRDefault="00AA58C9"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Studijní program je koncipován tak, aby student v průběhu studia při plnění studijních povinností prokázal schopnost používat získané odborné znalosti, odborné dovednosti a obecné způsobilosti alespoň v jednom cizím jazyce.</w:t>
            </w:r>
          </w:p>
        </w:tc>
      </w:tr>
      <w:tr w:rsidR="00EF19B1" w:rsidRPr="00C355A6" w14:paraId="1C26D85B" w14:textId="77777777" w:rsidTr="0071736D">
        <w:trPr>
          <w:trHeight w:val="20"/>
        </w:trPr>
        <w:tc>
          <w:tcPr>
            <w:tcW w:w="1418" w:type="dxa"/>
            <w:tcBorders>
              <w:right w:val="nil"/>
            </w:tcBorders>
            <w:shd w:val="clear" w:color="auto" w:fill="F2F2F2" w:themeFill="background1" w:themeFillShade="F2"/>
            <w:vAlign w:val="center"/>
          </w:tcPr>
          <w:p w14:paraId="7D6BFAB4" w14:textId="19063CAA" w:rsidR="00EF19B1" w:rsidRPr="00C355A6" w:rsidRDefault="00EF19B1" w:rsidP="00C355A6">
            <w:pPr>
              <w:spacing w:after="0" w:line="240" w:lineRule="auto"/>
              <w:jc w:val="center"/>
              <w:rPr>
                <w:rFonts w:ascii="Times New Roman" w:hAnsi="Times New Roman" w:cs="Times New Roman"/>
                <w:color w:val="000000"/>
              </w:rPr>
            </w:pPr>
            <w:r>
              <w:rPr>
                <w:rFonts w:ascii="Times New Roman" w:hAnsi="Times New Roman" w:cs="Times New Roman"/>
                <w:color w:val="000000"/>
              </w:rPr>
              <w:t>WFME 2.2</w:t>
            </w:r>
          </w:p>
        </w:tc>
        <w:tc>
          <w:tcPr>
            <w:tcW w:w="9214" w:type="dxa"/>
            <w:shd w:val="clear" w:color="auto" w:fill="F2F2F2" w:themeFill="background1" w:themeFillShade="F2"/>
          </w:tcPr>
          <w:p w14:paraId="327DB8C9" w14:textId="2993BDFD" w:rsidR="00EF19B1" w:rsidRPr="00875A79" w:rsidRDefault="00EF19B1"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Fakulta zdokumentovala celkovou organizaci kurikula, včetně principů, na kterých je model kurikula založen, a vztahů mezi obory, které tvoří jeho složky.</w:t>
            </w:r>
          </w:p>
        </w:tc>
      </w:tr>
      <w:tr w:rsidR="00AA58C9" w:rsidRPr="00C355A6" w14:paraId="0575E4F7" w14:textId="77777777" w:rsidTr="0071736D">
        <w:trPr>
          <w:trHeight w:val="20"/>
        </w:trPr>
        <w:tc>
          <w:tcPr>
            <w:tcW w:w="1418" w:type="dxa"/>
            <w:tcBorders>
              <w:right w:val="nil"/>
            </w:tcBorders>
            <w:shd w:val="clear" w:color="auto" w:fill="F2F2F2" w:themeFill="background1" w:themeFillShade="F2"/>
            <w:vAlign w:val="center"/>
          </w:tcPr>
          <w:p w14:paraId="555EA0D1" w14:textId="6DA5E822" w:rsidR="00AA58C9" w:rsidRPr="00C355A6" w:rsidRDefault="00AA58C9"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2.6</w:t>
            </w:r>
          </w:p>
        </w:tc>
        <w:tc>
          <w:tcPr>
            <w:tcW w:w="9214" w:type="dxa"/>
            <w:shd w:val="clear" w:color="auto" w:fill="F2F2F2" w:themeFill="background1" w:themeFillShade="F2"/>
          </w:tcPr>
          <w:p w14:paraId="2A4C665E" w14:textId="77777777" w:rsidR="00AA58C9" w:rsidRPr="00875A79" w:rsidRDefault="00AA58C9"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Vysoká škola má nastavena funkční pravidla a podmínky pro vytváření studijních plánů, včetně vymezení případné praktické výuky realizované případně i u jiné fyzické nebo právnické osoby a délky této praktické výuky, přičemž studijní plán je sestaven tak, aby umožňoval studentům zejména získání teoretických znalostí potřebných pro výkon povolání včetně uplatnění v tvůrčí činnosti a dále osvojení nezbytných praktických dovedností.</w:t>
            </w:r>
          </w:p>
        </w:tc>
      </w:tr>
      <w:tr w:rsidR="00AA58C9" w:rsidRPr="00C355A6" w14:paraId="58021C91" w14:textId="77777777" w:rsidTr="0071736D">
        <w:trPr>
          <w:trHeight w:val="20"/>
        </w:trPr>
        <w:tc>
          <w:tcPr>
            <w:tcW w:w="1418" w:type="dxa"/>
            <w:tcBorders>
              <w:right w:val="nil"/>
            </w:tcBorders>
            <w:shd w:val="clear" w:color="auto" w:fill="F2F2F2" w:themeFill="background1" w:themeFillShade="F2"/>
            <w:vAlign w:val="center"/>
          </w:tcPr>
          <w:p w14:paraId="0DBF667C" w14:textId="77777777" w:rsidR="00AA58C9" w:rsidRPr="00C355A6" w:rsidRDefault="00AA58C9"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2.7</w:t>
            </w:r>
          </w:p>
        </w:tc>
        <w:tc>
          <w:tcPr>
            <w:tcW w:w="9214" w:type="dxa"/>
            <w:shd w:val="clear" w:color="auto" w:fill="F2F2F2" w:themeFill="background1" w:themeFillShade="F2"/>
          </w:tcPr>
          <w:p w14:paraId="02CB5494" w14:textId="77777777" w:rsidR="00AA58C9" w:rsidRPr="00875A79" w:rsidRDefault="00AA58C9" w:rsidP="00C355A6">
            <w:pPr>
              <w:spacing w:after="0" w:line="240" w:lineRule="auto"/>
              <w:rPr>
                <w:rFonts w:ascii="Times New Roman" w:hAnsi="Times New Roman" w:cs="Times New Roman"/>
                <w:color w:val="000000"/>
              </w:rPr>
            </w:pPr>
            <w:bookmarkStart w:id="0" w:name="OLE_LINK1"/>
            <w:r w:rsidRPr="00875A79">
              <w:rPr>
                <w:rFonts w:ascii="Times New Roman" w:hAnsi="Times New Roman" w:cs="Times New Roman"/>
                <w:color w:val="000000"/>
              </w:rPr>
              <w:t>Studijní program má vymezeno rámcové uplatnění absolventů studijního programu a typické pracovní pozice, které může absolvent zastávat.</w:t>
            </w:r>
            <w:bookmarkEnd w:id="0"/>
          </w:p>
        </w:tc>
      </w:tr>
      <w:tr w:rsidR="00AA58C9" w:rsidRPr="00C355A6" w14:paraId="68F30FEB" w14:textId="77777777" w:rsidTr="0071736D">
        <w:trPr>
          <w:trHeight w:val="20"/>
        </w:trPr>
        <w:tc>
          <w:tcPr>
            <w:tcW w:w="1418" w:type="dxa"/>
            <w:tcBorders>
              <w:right w:val="nil"/>
            </w:tcBorders>
            <w:shd w:val="clear" w:color="auto" w:fill="F2F2F2" w:themeFill="background1" w:themeFillShade="F2"/>
            <w:vAlign w:val="center"/>
          </w:tcPr>
          <w:p w14:paraId="640ECEFA" w14:textId="77777777" w:rsidR="00AA58C9" w:rsidRPr="00C355A6" w:rsidRDefault="00AA58C9"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2.8</w:t>
            </w:r>
          </w:p>
        </w:tc>
        <w:tc>
          <w:tcPr>
            <w:tcW w:w="9214" w:type="dxa"/>
            <w:shd w:val="clear" w:color="auto" w:fill="F2F2F2" w:themeFill="background1" w:themeFillShade="F2"/>
          </w:tcPr>
          <w:p w14:paraId="27272F0E" w14:textId="77777777" w:rsidR="00AA58C9" w:rsidRPr="00875A79" w:rsidRDefault="00AA58C9"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Standardní doba studia odpovídá průměrné studijní zátěži, obsahu a cílům studia a profilu absolventa studijního programu.</w:t>
            </w:r>
          </w:p>
        </w:tc>
      </w:tr>
      <w:tr w:rsidR="00AA58C9" w:rsidRPr="00C355A6" w14:paraId="201467C8" w14:textId="77777777" w:rsidTr="0071736D">
        <w:trPr>
          <w:trHeight w:val="20"/>
        </w:trPr>
        <w:tc>
          <w:tcPr>
            <w:tcW w:w="1418" w:type="dxa"/>
            <w:tcBorders>
              <w:right w:val="nil"/>
            </w:tcBorders>
            <w:shd w:val="clear" w:color="auto" w:fill="F2F2F2" w:themeFill="background1" w:themeFillShade="F2"/>
            <w:vAlign w:val="center"/>
          </w:tcPr>
          <w:p w14:paraId="00BF4267" w14:textId="10C75D69" w:rsidR="00AA58C9" w:rsidRPr="00C355A6" w:rsidRDefault="00AA58C9"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2.9</w:t>
            </w:r>
          </w:p>
        </w:tc>
        <w:tc>
          <w:tcPr>
            <w:tcW w:w="9214" w:type="dxa"/>
            <w:shd w:val="clear" w:color="auto" w:fill="F2F2F2" w:themeFill="background1" w:themeFillShade="F2"/>
          </w:tcPr>
          <w:p w14:paraId="44631FAB" w14:textId="77777777" w:rsidR="00AA58C9" w:rsidRPr="00875A79" w:rsidRDefault="00AA58C9"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Obsah studia odpovídá cílům studia a umožňuje dosažení stanoveného profilu absolventa a vychází ze soudobého stavu vědeckého poznání a tvůrčí činnosti v dané oblasti vzdělávání.</w:t>
            </w:r>
          </w:p>
        </w:tc>
      </w:tr>
      <w:tr w:rsidR="00AA58C9" w:rsidRPr="00C355A6" w14:paraId="12A6C278" w14:textId="77777777" w:rsidTr="0071736D">
        <w:trPr>
          <w:trHeight w:val="20"/>
        </w:trPr>
        <w:tc>
          <w:tcPr>
            <w:tcW w:w="1418" w:type="dxa"/>
            <w:tcBorders>
              <w:right w:val="nil"/>
            </w:tcBorders>
            <w:shd w:val="clear" w:color="auto" w:fill="F2F2F2" w:themeFill="background1" w:themeFillShade="F2"/>
            <w:vAlign w:val="center"/>
          </w:tcPr>
          <w:p w14:paraId="05DC1C74" w14:textId="77777777" w:rsidR="00AA58C9" w:rsidRPr="00C355A6" w:rsidRDefault="00AA58C9"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lastRenderedPageBreak/>
              <w:t>2.12</w:t>
            </w:r>
          </w:p>
        </w:tc>
        <w:tc>
          <w:tcPr>
            <w:tcW w:w="9214" w:type="dxa"/>
            <w:shd w:val="clear" w:color="auto" w:fill="F2F2F2" w:themeFill="background1" w:themeFillShade="F2"/>
          </w:tcPr>
          <w:p w14:paraId="683C3AB9" w14:textId="77777777" w:rsidR="00AA58C9" w:rsidRPr="00875A79" w:rsidRDefault="00AA58C9"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Studijní program má nastavenu a zdůvodněnu strukturu studijních předmětů, jejich rozsah a charakteristiku.</w:t>
            </w:r>
          </w:p>
        </w:tc>
      </w:tr>
      <w:tr w:rsidR="00EF19B1" w:rsidRPr="00C355A6" w14:paraId="3CDD1567" w14:textId="77777777" w:rsidTr="0071736D">
        <w:trPr>
          <w:trHeight w:val="20"/>
        </w:trPr>
        <w:tc>
          <w:tcPr>
            <w:tcW w:w="1418" w:type="dxa"/>
            <w:tcBorders>
              <w:right w:val="nil"/>
            </w:tcBorders>
            <w:shd w:val="clear" w:color="auto" w:fill="F2F2F2" w:themeFill="background1" w:themeFillShade="F2"/>
            <w:vAlign w:val="center"/>
          </w:tcPr>
          <w:p w14:paraId="2FA8E661" w14:textId="5F70A2D1" w:rsidR="00EF19B1" w:rsidRPr="00C355A6" w:rsidRDefault="00EF19B1" w:rsidP="00C355A6">
            <w:pPr>
              <w:spacing w:after="0" w:line="240" w:lineRule="auto"/>
              <w:jc w:val="center"/>
              <w:rPr>
                <w:rFonts w:ascii="Times New Roman" w:hAnsi="Times New Roman" w:cs="Times New Roman"/>
                <w:color w:val="000000"/>
              </w:rPr>
            </w:pPr>
            <w:r>
              <w:rPr>
                <w:rFonts w:ascii="Times New Roman" w:hAnsi="Times New Roman" w:cs="Times New Roman"/>
                <w:color w:val="000000"/>
              </w:rPr>
              <w:t>WFME 2.3</w:t>
            </w:r>
          </w:p>
        </w:tc>
        <w:tc>
          <w:tcPr>
            <w:tcW w:w="9214" w:type="dxa"/>
            <w:shd w:val="clear" w:color="auto" w:fill="F2F2F2" w:themeFill="background1" w:themeFillShade="F2"/>
          </w:tcPr>
          <w:p w14:paraId="3AF19E5A" w14:textId="27A82264" w:rsidR="00EF19B1" w:rsidRPr="00875A79" w:rsidRDefault="00EF19B1" w:rsidP="00EF19B1">
            <w:pPr>
              <w:spacing w:after="0" w:line="240" w:lineRule="auto"/>
              <w:rPr>
                <w:rFonts w:ascii="Times New Roman" w:hAnsi="Times New Roman" w:cs="Times New Roman"/>
                <w:color w:val="000000"/>
              </w:rPr>
            </w:pPr>
            <w:r w:rsidRPr="00875A79">
              <w:rPr>
                <w:rFonts w:ascii="Times New Roman" w:hAnsi="Times New Roman" w:cs="Times New Roman"/>
                <w:color w:val="000000"/>
              </w:rPr>
              <w:t>Fakulta dokáže zdůvodnit, proč do kurikula zařadila daný obsah potřebný k přípravě studentů na jejich roli kompetentních lékařů a pro jejich další vzdělávání.</w:t>
            </w:r>
          </w:p>
          <w:p w14:paraId="7D9AF605" w14:textId="3674A5B3" w:rsidR="00EF19B1" w:rsidRPr="00875A79" w:rsidRDefault="00EF19B1" w:rsidP="00EF19B1">
            <w:pPr>
              <w:spacing w:after="0" w:line="240" w:lineRule="auto"/>
              <w:rPr>
                <w:rFonts w:ascii="Times New Roman" w:hAnsi="Times New Roman" w:cs="Times New Roman"/>
                <w:color w:val="000000"/>
              </w:rPr>
            </w:pPr>
            <w:r w:rsidRPr="00875A79">
              <w:rPr>
                <w:rFonts w:ascii="Times New Roman" w:hAnsi="Times New Roman" w:cs="Times New Roman"/>
                <w:color w:val="000000"/>
              </w:rPr>
              <w:t xml:space="preserve">Obsah je popsán alespoň </w:t>
            </w:r>
            <w:r w:rsidR="002407C3" w:rsidRPr="00875A79">
              <w:rPr>
                <w:rFonts w:ascii="Times New Roman" w:hAnsi="Times New Roman" w:cs="Times New Roman"/>
                <w:color w:val="000000"/>
              </w:rPr>
              <w:t xml:space="preserve">ve </w:t>
            </w:r>
            <w:r w:rsidRPr="00875A79">
              <w:rPr>
                <w:rFonts w:ascii="Times New Roman" w:hAnsi="Times New Roman" w:cs="Times New Roman"/>
                <w:color w:val="000000"/>
              </w:rPr>
              <w:t>třech hlavních oblastech: základní biomedicínské vědy, klinické vědy a dovednosti a relevantní behaviorální a společenské vědy.</w:t>
            </w:r>
          </w:p>
        </w:tc>
      </w:tr>
      <w:tr w:rsidR="00AA58C9" w:rsidRPr="00C355A6" w14:paraId="5C5BAC16" w14:textId="77777777" w:rsidTr="0071736D">
        <w:trPr>
          <w:trHeight w:val="20"/>
        </w:trPr>
        <w:tc>
          <w:tcPr>
            <w:tcW w:w="1418" w:type="dxa"/>
            <w:tcBorders>
              <w:right w:val="nil"/>
            </w:tcBorders>
            <w:shd w:val="clear" w:color="auto" w:fill="F2F2F2" w:themeFill="background1" w:themeFillShade="F2"/>
            <w:vAlign w:val="center"/>
          </w:tcPr>
          <w:p w14:paraId="4B0AFA0A" w14:textId="77777777" w:rsidR="00AA58C9" w:rsidRPr="00C355A6" w:rsidRDefault="00AA58C9"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2.14</w:t>
            </w:r>
          </w:p>
        </w:tc>
        <w:tc>
          <w:tcPr>
            <w:tcW w:w="9214" w:type="dxa"/>
            <w:shd w:val="clear" w:color="auto" w:fill="F2F2F2" w:themeFill="background1" w:themeFillShade="F2"/>
          </w:tcPr>
          <w:p w14:paraId="7F273968" w14:textId="77777777" w:rsidR="00AA58C9" w:rsidRPr="00875A79" w:rsidRDefault="00AA58C9"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Obsah vyučovaných studijních předmětů, metody výuky, zajištění praktické výuky, způsob hodnocení, obsah státních zkoušek, témata a zaměření kvalifikačních prací jsou v souladu s plánovanými výsledky učení a profilem absolventa v daném studijním programu a vytvářejí logický celek.</w:t>
            </w:r>
          </w:p>
        </w:tc>
      </w:tr>
      <w:tr w:rsidR="00AA58C9" w:rsidRPr="00C355A6" w14:paraId="50B56D83" w14:textId="77777777" w:rsidTr="00F62E9F">
        <w:trPr>
          <w:trHeight w:val="20"/>
        </w:trPr>
        <w:tc>
          <w:tcPr>
            <w:tcW w:w="1418" w:type="dxa"/>
            <w:tcBorders>
              <w:right w:val="nil"/>
            </w:tcBorders>
            <w:shd w:val="clear" w:color="auto" w:fill="F2F2F2" w:themeFill="background1" w:themeFillShade="F2"/>
            <w:vAlign w:val="center"/>
          </w:tcPr>
          <w:p w14:paraId="113522E7" w14:textId="77777777" w:rsidR="00AA58C9" w:rsidRPr="00C355A6" w:rsidRDefault="00AA58C9"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3.1</w:t>
            </w:r>
          </w:p>
        </w:tc>
        <w:tc>
          <w:tcPr>
            <w:tcW w:w="9214" w:type="dxa"/>
            <w:shd w:val="clear" w:color="auto" w:fill="F2F2F2" w:themeFill="background1" w:themeFillShade="F2"/>
          </w:tcPr>
          <w:p w14:paraId="3E88B73C" w14:textId="77777777" w:rsidR="00AA58C9" w:rsidRPr="00875A79" w:rsidRDefault="00AA58C9"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Při uskutečňování studijního programu se využívají moderní výukové metody odpovídající výsledkům učení studijního programu a přístupy podporující aktivní roli studentů v procesu výuky.</w:t>
            </w:r>
          </w:p>
        </w:tc>
      </w:tr>
      <w:tr w:rsidR="00396360" w:rsidRPr="00C355A6" w14:paraId="1D39CD20" w14:textId="77777777" w:rsidTr="00F62E9F">
        <w:trPr>
          <w:trHeight w:val="20"/>
        </w:trPr>
        <w:tc>
          <w:tcPr>
            <w:tcW w:w="1418" w:type="dxa"/>
            <w:tcBorders>
              <w:right w:val="nil"/>
            </w:tcBorders>
            <w:shd w:val="clear" w:color="auto" w:fill="F2F2F2" w:themeFill="background1" w:themeFillShade="F2"/>
            <w:vAlign w:val="center"/>
          </w:tcPr>
          <w:p w14:paraId="0425C134" w14:textId="2FB75071" w:rsidR="00396360" w:rsidRPr="00C355A6" w:rsidRDefault="00396360" w:rsidP="00396360">
            <w:pPr>
              <w:spacing w:after="0" w:line="240" w:lineRule="auto"/>
              <w:jc w:val="center"/>
              <w:rPr>
                <w:rFonts w:ascii="Times New Roman" w:hAnsi="Times New Roman" w:cs="Times New Roman"/>
                <w:color w:val="000000"/>
              </w:rPr>
            </w:pPr>
            <w:r>
              <w:rPr>
                <w:rFonts w:ascii="Times New Roman" w:hAnsi="Times New Roman" w:cs="Times New Roman"/>
                <w:color w:val="000000"/>
              </w:rPr>
              <w:t>WFME 2.4</w:t>
            </w:r>
          </w:p>
        </w:tc>
        <w:tc>
          <w:tcPr>
            <w:tcW w:w="9214" w:type="dxa"/>
            <w:shd w:val="clear" w:color="auto" w:fill="F2F2F2" w:themeFill="background1" w:themeFillShade="F2"/>
          </w:tcPr>
          <w:p w14:paraId="3771A0FD" w14:textId="2695CBEE" w:rsidR="00396360" w:rsidRPr="00875A79" w:rsidRDefault="00396360" w:rsidP="00396360">
            <w:pPr>
              <w:spacing w:after="0" w:line="240" w:lineRule="auto"/>
              <w:rPr>
                <w:rFonts w:ascii="Times New Roman" w:hAnsi="Times New Roman" w:cs="Times New Roman"/>
                <w:color w:val="000000"/>
              </w:rPr>
            </w:pPr>
            <w:r w:rsidRPr="00875A79">
              <w:rPr>
                <w:rFonts w:ascii="Times New Roman" w:hAnsi="Times New Roman" w:cs="Times New Roman"/>
                <w:color w:val="000000"/>
              </w:rPr>
              <w:t>Fakulta používá různé metody výuky, aby zajistila, že studenti dosáhnou zamýšlených výstupů z kurikula.</w:t>
            </w:r>
          </w:p>
        </w:tc>
      </w:tr>
      <w:tr w:rsidR="00AA58C9" w:rsidRPr="00C355A6" w14:paraId="4B2A8644" w14:textId="77777777" w:rsidTr="00F62E9F">
        <w:trPr>
          <w:trHeight w:val="20"/>
        </w:trPr>
        <w:tc>
          <w:tcPr>
            <w:tcW w:w="1418" w:type="dxa"/>
            <w:tcBorders>
              <w:right w:val="nil"/>
            </w:tcBorders>
            <w:shd w:val="clear" w:color="auto" w:fill="F2F2F2" w:themeFill="background1" w:themeFillShade="F2"/>
            <w:vAlign w:val="center"/>
          </w:tcPr>
          <w:p w14:paraId="5B37219D" w14:textId="77777777" w:rsidR="00AA58C9" w:rsidRPr="00C355A6" w:rsidRDefault="00AA58C9"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3.2</w:t>
            </w:r>
          </w:p>
        </w:tc>
        <w:tc>
          <w:tcPr>
            <w:tcW w:w="9214" w:type="dxa"/>
            <w:shd w:val="clear" w:color="auto" w:fill="F2F2F2" w:themeFill="background1" w:themeFillShade="F2"/>
          </w:tcPr>
          <w:p w14:paraId="6D117ADE" w14:textId="52CE0943" w:rsidR="00AA58C9" w:rsidRPr="00875A79" w:rsidRDefault="00AA58C9"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Poměr přímé výuky a samostudia odpovídá studijnímu programu, formě studia, profilu studijního programu a metodám výuky.</w:t>
            </w:r>
          </w:p>
        </w:tc>
      </w:tr>
      <w:tr w:rsidR="00AA58C9" w:rsidRPr="00C355A6" w14:paraId="01E582E2" w14:textId="77777777" w:rsidTr="00F62E9F">
        <w:trPr>
          <w:trHeight w:val="20"/>
        </w:trPr>
        <w:tc>
          <w:tcPr>
            <w:tcW w:w="1418" w:type="dxa"/>
            <w:tcBorders>
              <w:right w:val="nil"/>
            </w:tcBorders>
            <w:shd w:val="clear" w:color="auto" w:fill="F2F2F2" w:themeFill="background1" w:themeFillShade="F2"/>
            <w:vAlign w:val="center"/>
          </w:tcPr>
          <w:p w14:paraId="396DACEE" w14:textId="77777777" w:rsidR="00AA58C9" w:rsidRPr="00C355A6" w:rsidRDefault="00AA58C9"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3.3</w:t>
            </w:r>
          </w:p>
        </w:tc>
        <w:tc>
          <w:tcPr>
            <w:tcW w:w="9214" w:type="dxa"/>
            <w:shd w:val="clear" w:color="auto" w:fill="F2F2F2" w:themeFill="background1" w:themeFillShade="F2"/>
          </w:tcPr>
          <w:p w14:paraId="3F8FF237" w14:textId="77777777" w:rsidR="00AA58C9" w:rsidRPr="00875A79" w:rsidRDefault="00AA58C9"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Skladba studijní literatury a skladba studijních opor, které jsou uvedeny v požadavcích studijních předmětů profilujícího základu, odráží aktuální stav poznání. Studentům je zajištěna jejich dostupnost.</w:t>
            </w:r>
          </w:p>
        </w:tc>
      </w:tr>
      <w:tr w:rsidR="00AA58C9" w:rsidRPr="00C355A6" w14:paraId="4B18970C" w14:textId="77777777" w:rsidTr="00F62E9F">
        <w:trPr>
          <w:trHeight w:val="20"/>
        </w:trPr>
        <w:tc>
          <w:tcPr>
            <w:tcW w:w="1418" w:type="dxa"/>
            <w:tcBorders>
              <w:right w:val="nil"/>
            </w:tcBorders>
            <w:shd w:val="clear" w:color="auto" w:fill="F2F2F2" w:themeFill="background1" w:themeFillShade="F2"/>
            <w:vAlign w:val="center"/>
          </w:tcPr>
          <w:p w14:paraId="5CDAB8EB" w14:textId="77777777" w:rsidR="00AA58C9" w:rsidRPr="00C355A6" w:rsidRDefault="00AA58C9"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3.4</w:t>
            </w:r>
          </w:p>
        </w:tc>
        <w:tc>
          <w:tcPr>
            <w:tcW w:w="9214" w:type="dxa"/>
            <w:shd w:val="clear" w:color="auto" w:fill="F2F2F2" w:themeFill="background1" w:themeFillShade="F2"/>
          </w:tcPr>
          <w:p w14:paraId="4DF4FEA4" w14:textId="45463013" w:rsidR="00AA58C9" w:rsidRPr="00875A79" w:rsidRDefault="00AA58C9"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Vysoká škola má zveřejněna kritéria, která odpovídají cílům studia a umožňují objektivní hodnocení</w:t>
            </w:r>
            <w:r w:rsidR="006D15BC" w:rsidRPr="00875A79">
              <w:rPr>
                <w:rFonts w:ascii="Times New Roman" w:hAnsi="Times New Roman" w:cs="Times New Roman"/>
                <w:color w:val="000000"/>
              </w:rPr>
              <w:t>,</w:t>
            </w:r>
            <w:r w:rsidRPr="00875A79">
              <w:rPr>
                <w:rFonts w:ascii="Times New Roman" w:hAnsi="Times New Roman" w:cs="Times New Roman"/>
                <w:color w:val="000000"/>
              </w:rPr>
              <w:t xml:space="preserve"> a podle kterých jsou studenti hodnoceni.</w:t>
            </w:r>
          </w:p>
        </w:tc>
      </w:tr>
      <w:tr w:rsidR="00396360" w:rsidRPr="00C355A6" w14:paraId="033A1047" w14:textId="77777777" w:rsidTr="00F62E9F">
        <w:trPr>
          <w:trHeight w:val="20"/>
        </w:trPr>
        <w:tc>
          <w:tcPr>
            <w:tcW w:w="1418" w:type="dxa"/>
            <w:tcBorders>
              <w:right w:val="nil"/>
            </w:tcBorders>
            <w:shd w:val="clear" w:color="auto" w:fill="F2F2F2" w:themeFill="background1" w:themeFillShade="F2"/>
            <w:vAlign w:val="center"/>
          </w:tcPr>
          <w:p w14:paraId="61E664F9" w14:textId="05235E55" w:rsidR="00396360" w:rsidRPr="00C355A6" w:rsidRDefault="00396360" w:rsidP="00C355A6">
            <w:pPr>
              <w:spacing w:after="0" w:line="240" w:lineRule="auto"/>
              <w:jc w:val="center"/>
              <w:rPr>
                <w:rFonts w:ascii="Times New Roman" w:hAnsi="Times New Roman" w:cs="Times New Roman"/>
                <w:color w:val="000000"/>
              </w:rPr>
            </w:pPr>
            <w:r>
              <w:rPr>
                <w:rFonts w:ascii="Times New Roman" w:hAnsi="Times New Roman" w:cs="Times New Roman"/>
                <w:color w:val="000000"/>
              </w:rPr>
              <w:t>WFME 3.1</w:t>
            </w:r>
          </w:p>
        </w:tc>
        <w:tc>
          <w:tcPr>
            <w:tcW w:w="9214" w:type="dxa"/>
            <w:shd w:val="clear" w:color="auto" w:fill="F2F2F2" w:themeFill="background1" w:themeFillShade="F2"/>
          </w:tcPr>
          <w:p w14:paraId="12EBD906" w14:textId="253DB184" w:rsidR="00396360" w:rsidRPr="00875A79" w:rsidRDefault="00396360" w:rsidP="00396360">
            <w:pPr>
              <w:spacing w:after="0" w:line="240" w:lineRule="auto"/>
              <w:rPr>
                <w:rFonts w:ascii="Times New Roman" w:hAnsi="Times New Roman" w:cs="Times New Roman"/>
                <w:color w:val="000000"/>
              </w:rPr>
            </w:pPr>
            <w:r w:rsidRPr="00875A79">
              <w:rPr>
                <w:rFonts w:ascii="Times New Roman" w:hAnsi="Times New Roman" w:cs="Times New Roman"/>
                <w:color w:val="000000"/>
              </w:rPr>
              <w:t>Fakulta má pravidla, která popisuj</w:t>
            </w:r>
            <w:r w:rsidR="002407C3" w:rsidRPr="00875A79">
              <w:rPr>
                <w:rFonts w:ascii="Times New Roman" w:hAnsi="Times New Roman" w:cs="Times New Roman"/>
                <w:color w:val="000000"/>
              </w:rPr>
              <w:t>í</w:t>
            </w:r>
            <w:r w:rsidRPr="00875A79">
              <w:rPr>
                <w:rFonts w:ascii="Times New Roman" w:hAnsi="Times New Roman" w:cs="Times New Roman"/>
                <w:color w:val="000000"/>
              </w:rPr>
              <w:t xml:space="preserve"> její postupy při hodnocení studentů.</w:t>
            </w:r>
          </w:p>
          <w:p w14:paraId="7CF166EF" w14:textId="167A2B61" w:rsidR="00396360" w:rsidRPr="00875A79" w:rsidRDefault="00396360" w:rsidP="00396360">
            <w:pPr>
              <w:spacing w:after="0" w:line="240" w:lineRule="auto"/>
              <w:rPr>
                <w:rFonts w:ascii="Times New Roman" w:hAnsi="Times New Roman" w:cs="Times New Roman"/>
                <w:color w:val="000000"/>
              </w:rPr>
            </w:pPr>
            <w:r w:rsidRPr="00875A79">
              <w:rPr>
                <w:rFonts w:ascii="Times New Roman" w:hAnsi="Times New Roman" w:cs="Times New Roman"/>
                <w:color w:val="000000"/>
              </w:rPr>
              <w:t>Fakulta má centralizovaný systém, který realizaci těchto pravidel zajišťuje prostřednictvím více koordinovaných hodnocení, která jsou v souladu s výsledky jejího kurikula.</w:t>
            </w:r>
          </w:p>
          <w:p w14:paraId="5EBC9201" w14:textId="6BFBC903" w:rsidR="00396360" w:rsidRPr="00875A79" w:rsidRDefault="00396360" w:rsidP="00396360">
            <w:pPr>
              <w:spacing w:after="0" w:line="240" w:lineRule="auto"/>
              <w:rPr>
                <w:rFonts w:ascii="Times New Roman" w:hAnsi="Times New Roman" w:cs="Times New Roman"/>
                <w:color w:val="000000"/>
              </w:rPr>
            </w:pPr>
            <w:r w:rsidRPr="00875A79">
              <w:rPr>
                <w:rFonts w:ascii="Times New Roman" w:hAnsi="Times New Roman" w:cs="Times New Roman"/>
                <w:color w:val="000000"/>
              </w:rPr>
              <w:t>Tato pravidla jsou sdílena se všemi stakeholdery.</w:t>
            </w:r>
          </w:p>
        </w:tc>
      </w:tr>
      <w:tr w:rsidR="00396360" w:rsidRPr="00C355A6" w14:paraId="43B9BF00" w14:textId="77777777" w:rsidTr="00F62E9F">
        <w:trPr>
          <w:trHeight w:val="20"/>
        </w:trPr>
        <w:tc>
          <w:tcPr>
            <w:tcW w:w="1418" w:type="dxa"/>
            <w:tcBorders>
              <w:right w:val="nil"/>
            </w:tcBorders>
            <w:shd w:val="clear" w:color="auto" w:fill="F2F2F2" w:themeFill="background1" w:themeFillShade="F2"/>
            <w:vAlign w:val="center"/>
          </w:tcPr>
          <w:p w14:paraId="2249860C" w14:textId="7D9C927F" w:rsidR="00396360" w:rsidRPr="00C355A6" w:rsidRDefault="00396360" w:rsidP="00C355A6">
            <w:pPr>
              <w:spacing w:after="0" w:line="240" w:lineRule="auto"/>
              <w:jc w:val="center"/>
              <w:rPr>
                <w:rFonts w:ascii="Times New Roman" w:hAnsi="Times New Roman" w:cs="Times New Roman"/>
                <w:color w:val="000000"/>
              </w:rPr>
            </w:pPr>
            <w:r>
              <w:rPr>
                <w:rFonts w:ascii="Times New Roman" w:hAnsi="Times New Roman" w:cs="Times New Roman"/>
                <w:color w:val="000000"/>
              </w:rPr>
              <w:t>WFME 3.2</w:t>
            </w:r>
          </w:p>
        </w:tc>
        <w:tc>
          <w:tcPr>
            <w:tcW w:w="9214" w:type="dxa"/>
            <w:shd w:val="clear" w:color="auto" w:fill="F2F2F2" w:themeFill="background1" w:themeFillShade="F2"/>
          </w:tcPr>
          <w:p w14:paraId="3F8B4AA7" w14:textId="45E92B34" w:rsidR="00396360" w:rsidRPr="00875A79" w:rsidRDefault="00396360" w:rsidP="00396360">
            <w:pPr>
              <w:spacing w:after="0" w:line="240" w:lineRule="auto"/>
              <w:rPr>
                <w:rFonts w:ascii="Times New Roman" w:hAnsi="Times New Roman" w:cs="Times New Roman"/>
                <w:color w:val="000000"/>
              </w:rPr>
            </w:pPr>
            <w:r w:rsidRPr="00875A79">
              <w:rPr>
                <w:rFonts w:ascii="Times New Roman" w:hAnsi="Times New Roman" w:cs="Times New Roman"/>
                <w:color w:val="000000"/>
              </w:rPr>
              <w:t xml:space="preserve">Fakulta má zavedený systém hodnocení, který studentům pravidelně poskytuje užitečnou zpětnou vazbu, která identifikuje jejich silné a slabé stránky a pomáhá jim konsolidovat jejich studium.  </w:t>
            </w:r>
          </w:p>
          <w:p w14:paraId="79A82C55" w14:textId="2033EA36" w:rsidR="00396360" w:rsidRPr="00875A79" w:rsidRDefault="00396360" w:rsidP="00396360">
            <w:pPr>
              <w:spacing w:after="0" w:line="240" w:lineRule="auto"/>
              <w:rPr>
                <w:rFonts w:ascii="Times New Roman" w:hAnsi="Times New Roman" w:cs="Times New Roman"/>
                <w:color w:val="000000"/>
              </w:rPr>
            </w:pPr>
            <w:r w:rsidRPr="00875A79">
              <w:rPr>
                <w:rFonts w:ascii="Times New Roman" w:hAnsi="Times New Roman" w:cs="Times New Roman"/>
                <w:color w:val="000000"/>
              </w:rPr>
              <w:t>Tato formativní hodnocení jsou vázána na vzdělávací intervence, které zajišťují, že všichni studenti mají možnost plně využít svůj potenciál.</w:t>
            </w:r>
          </w:p>
        </w:tc>
      </w:tr>
      <w:tr w:rsidR="00396360" w:rsidRPr="00C355A6" w14:paraId="7A4E0DCA" w14:textId="77777777" w:rsidTr="00F62E9F">
        <w:trPr>
          <w:trHeight w:val="20"/>
        </w:trPr>
        <w:tc>
          <w:tcPr>
            <w:tcW w:w="1418" w:type="dxa"/>
            <w:tcBorders>
              <w:right w:val="nil"/>
            </w:tcBorders>
            <w:shd w:val="clear" w:color="auto" w:fill="F2F2F2" w:themeFill="background1" w:themeFillShade="F2"/>
            <w:vAlign w:val="center"/>
          </w:tcPr>
          <w:p w14:paraId="2ACED4D0" w14:textId="423E5BE8" w:rsidR="00396360" w:rsidRPr="00C355A6" w:rsidRDefault="00396360" w:rsidP="00C355A6">
            <w:pPr>
              <w:spacing w:after="0" w:line="240" w:lineRule="auto"/>
              <w:jc w:val="center"/>
              <w:rPr>
                <w:rFonts w:ascii="Times New Roman" w:hAnsi="Times New Roman" w:cs="Times New Roman"/>
                <w:color w:val="000000"/>
              </w:rPr>
            </w:pPr>
            <w:r>
              <w:rPr>
                <w:rFonts w:ascii="Times New Roman" w:hAnsi="Times New Roman" w:cs="Times New Roman"/>
                <w:color w:val="000000"/>
              </w:rPr>
              <w:t>WFME 3.3</w:t>
            </w:r>
          </w:p>
        </w:tc>
        <w:tc>
          <w:tcPr>
            <w:tcW w:w="9214" w:type="dxa"/>
            <w:shd w:val="clear" w:color="auto" w:fill="F2F2F2" w:themeFill="background1" w:themeFillShade="F2"/>
          </w:tcPr>
          <w:p w14:paraId="706EF5DE" w14:textId="5F53EE6C" w:rsidR="00396360" w:rsidRPr="00875A79" w:rsidRDefault="00396360" w:rsidP="00396360">
            <w:pPr>
              <w:spacing w:after="0" w:line="240" w:lineRule="auto"/>
              <w:rPr>
                <w:rFonts w:ascii="Times New Roman" w:hAnsi="Times New Roman" w:cs="Times New Roman"/>
                <w:color w:val="000000"/>
              </w:rPr>
            </w:pPr>
            <w:r w:rsidRPr="00875A79">
              <w:rPr>
                <w:rFonts w:ascii="Times New Roman" w:hAnsi="Times New Roman" w:cs="Times New Roman"/>
                <w:color w:val="000000"/>
              </w:rPr>
              <w:t xml:space="preserve">Fakulta má zavedený systém hodnocení, který je podkladem pro rozhodování o postupu a absolvování studia. Tato sumativní hodnocení jsou vhodná pro měření výsledků v rámci předmětů.  </w:t>
            </w:r>
          </w:p>
          <w:p w14:paraId="5BC6F266" w14:textId="716F8BD2" w:rsidR="00396360" w:rsidRPr="00875A79" w:rsidRDefault="00396360" w:rsidP="00396360">
            <w:pPr>
              <w:spacing w:after="0" w:line="240" w:lineRule="auto"/>
              <w:rPr>
                <w:rFonts w:ascii="Times New Roman" w:hAnsi="Times New Roman" w:cs="Times New Roman"/>
                <w:color w:val="000000"/>
              </w:rPr>
            </w:pPr>
            <w:r w:rsidRPr="00875A79">
              <w:rPr>
                <w:rFonts w:ascii="Times New Roman" w:hAnsi="Times New Roman" w:cs="Times New Roman"/>
                <w:color w:val="000000"/>
              </w:rPr>
              <w:t>Hodnocení je pečlivě navrženo a vede ke spolehlivému a platnému bodovému ohodnocení, resp. známkám.</w:t>
            </w:r>
          </w:p>
        </w:tc>
      </w:tr>
      <w:tr w:rsidR="00AA58C9" w:rsidRPr="00C355A6" w14:paraId="1314F0B3" w14:textId="77777777" w:rsidTr="00F62E9F">
        <w:trPr>
          <w:trHeight w:val="20"/>
        </w:trPr>
        <w:tc>
          <w:tcPr>
            <w:tcW w:w="1418" w:type="dxa"/>
            <w:tcBorders>
              <w:right w:val="nil"/>
            </w:tcBorders>
            <w:shd w:val="clear" w:color="auto" w:fill="D9D9D9" w:themeFill="background1" w:themeFillShade="D9"/>
            <w:vAlign w:val="center"/>
          </w:tcPr>
          <w:p w14:paraId="2C2B1E85" w14:textId="67DB180A" w:rsidR="00AA58C9" w:rsidRPr="00C355A6" w:rsidRDefault="00AA58C9"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3.5</w:t>
            </w:r>
          </w:p>
        </w:tc>
        <w:tc>
          <w:tcPr>
            <w:tcW w:w="9214" w:type="dxa"/>
            <w:shd w:val="clear" w:color="auto" w:fill="D9D9D9" w:themeFill="background1" w:themeFillShade="D9"/>
          </w:tcPr>
          <w:p w14:paraId="0D3E8D6A" w14:textId="339D9DD8" w:rsidR="00AA58C9" w:rsidRPr="00875A79" w:rsidRDefault="00AA58C9"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Vysoká škola je nebo v posledních třech letech byla řešitelem vědeckých projektů, které se odborně vztahují k odpovídající oblasti nebo oblastem vzdělávání. Přitom vysoká škola umožňuje studentům účastnit se vědecké činnosti.</w:t>
            </w:r>
          </w:p>
        </w:tc>
      </w:tr>
      <w:tr w:rsidR="00AA58C9" w:rsidRPr="00C355A6" w14:paraId="25E8FDAD" w14:textId="77777777" w:rsidTr="00F62E9F">
        <w:trPr>
          <w:trHeight w:val="20"/>
        </w:trPr>
        <w:tc>
          <w:tcPr>
            <w:tcW w:w="1418" w:type="dxa"/>
            <w:tcBorders>
              <w:right w:val="nil"/>
            </w:tcBorders>
            <w:shd w:val="clear" w:color="auto" w:fill="D9D9D9" w:themeFill="background1" w:themeFillShade="D9"/>
            <w:vAlign w:val="center"/>
          </w:tcPr>
          <w:p w14:paraId="64434830" w14:textId="77777777" w:rsidR="00AA58C9" w:rsidRPr="00C355A6" w:rsidRDefault="00AA58C9"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3.6</w:t>
            </w:r>
          </w:p>
        </w:tc>
        <w:tc>
          <w:tcPr>
            <w:tcW w:w="9214" w:type="dxa"/>
            <w:shd w:val="clear" w:color="auto" w:fill="D9D9D9" w:themeFill="background1" w:themeFillShade="D9"/>
          </w:tcPr>
          <w:p w14:paraId="043553F3" w14:textId="40BD334C" w:rsidR="00AA58C9" w:rsidRPr="00875A79" w:rsidRDefault="00AA58C9"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 xml:space="preserve">Vysoká škola uskutečňuje vědeckou činnost s mezinárodním rozměrem, která odpovídá oblasti nebo oblastem vzdělávání a která odpovídá typu studijního programu, a hodnotí její výstupy s ohledem na profil studijního programu. </w:t>
            </w:r>
          </w:p>
        </w:tc>
      </w:tr>
      <w:tr w:rsidR="00AA58C9" w:rsidRPr="00C355A6" w14:paraId="20FD2001" w14:textId="77777777" w:rsidTr="00BE1071">
        <w:trPr>
          <w:trHeight w:val="20"/>
        </w:trPr>
        <w:tc>
          <w:tcPr>
            <w:tcW w:w="1418" w:type="dxa"/>
            <w:tcBorders>
              <w:right w:val="nil"/>
            </w:tcBorders>
            <w:shd w:val="clear" w:color="auto" w:fill="F2F2F2" w:themeFill="background1" w:themeFillShade="F2"/>
            <w:vAlign w:val="center"/>
          </w:tcPr>
          <w:p w14:paraId="117F2888" w14:textId="77777777" w:rsidR="00AA58C9" w:rsidRPr="00C355A6" w:rsidRDefault="00AA58C9"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4.1</w:t>
            </w:r>
          </w:p>
        </w:tc>
        <w:tc>
          <w:tcPr>
            <w:tcW w:w="9214" w:type="dxa"/>
            <w:shd w:val="clear" w:color="auto" w:fill="F2F2F2" w:themeFill="background1" w:themeFillShade="F2"/>
          </w:tcPr>
          <w:p w14:paraId="5642AF2A" w14:textId="77777777" w:rsidR="00AA58C9" w:rsidRPr="00875A79" w:rsidRDefault="00AA58C9"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Vysoká škola má zhodnoceny předpokládané finanční náklady na uskutečňování studijního programu, zejména náklady na přístrojové vybavení a jeho provoz, náklady na materiální a technické vybavení a jeho modernizaci, osobní náklady, náklady dalšího vzdělávání akademických pracovníků a výdaje na inovace, a má zajištěny odpovídající zdroje na pokrytí těchto nákladů.</w:t>
            </w:r>
          </w:p>
        </w:tc>
      </w:tr>
      <w:tr w:rsidR="00BE1071" w:rsidRPr="00C355A6" w14:paraId="683CB547" w14:textId="77777777" w:rsidTr="00BE1071">
        <w:trPr>
          <w:trHeight w:val="20"/>
        </w:trPr>
        <w:tc>
          <w:tcPr>
            <w:tcW w:w="1418" w:type="dxa"/>
            <w:tcBorders>
              <w:right w:val="nil"/>
            </w:tcBorders>
            <w:shd w:val="clear" w:color="auto" w:fill="F2F2F2" w:themeFill="background1" w:themeFillShade="F2"/>
            <w:vAlign w:val="center"/>
          </w:tcPr>
          <w:p w14:paraId="301995A7" w14:textId="7BA56134" w:rsidR="00BE1071" w:rsidRPr="00C355A6" w:rsidRDefault="00BE1071" w:rsidP="00C355A6">
            <w:pPr>
              <w:spacing w:after="0" w:line="240" w:lineRule="auto"/>
              <w:jc w:val="center"/>
              <w:rPr>
                <w:rFonts w:ascii="Times New Roman" w:hAnsi="Times New Roman" w:cs="Times New Roman"/>
                <w:color w:val="000000"/>
              </w:rPr>
            </w:pPr>
            <w:r>
              <w:rPr>
                <w:rFonts w:ascii="Times New Roman" w:hAnsi="Times New Roman" w:cs="Times New Roman"/>
                <w:color w:val="000000"/>
              </w:rPr>
              <w:t>WFME 6.1</w:t>
            </w:r>
          </w:p>
        </w:tc>
        <w:tc>
          <w:tcPr>
            <w:tcW w:w="9214" w:type="dxa"/>
            <w:shd w:val="clear" w:color="auto" w:fill="F2F2F2" w:themeFill="background1" w:themeFillShade="F2"/>
          </w:tcPr>
          <w:p w14:paraId="608EFAE9" w14:textId="3FAE45BA" w:rsidR="00BE1071" w:rsidRPr="00875A79" w:rsidRDefault="00BE1071"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Fakulta má dostatečné prostorové a technické vybavení pro zajištění adekvátní realizace kurikula</w:t>
            </w:r>
            <w:r w:rsidR="00213ECA" w:rsidRPr="00875A79">
              <w:rPr>
                <w:rFonts w:ascii="Times New Roman" w:hAnsi="Times New Roman" w:cs="Times New Roman"/>
                <w:color w:val="000000"/>
              </w:rPr>
              <w:t>.</w:t>
            </w:r>
          </w:p>
        </w:tc>
      </w:tr>
      <w:tr w:rsidR="00AA58C9" w:rsidRPr="00C355A6" w14:paraId="50281BD3" w14:textId="77777777" w:rsidTr="00BE1071">
        <w:trPr>
          <w:trHeight w:val="20"/>
        </w:trPr>
        <w:tc>
          <w:tcPr>
            <w:tcW w:w="1418" w:type="dxa"/>
            <w:tcBorders>
              <w:right w:val="nil"/>
            </w:tcBorders>
            <w:shd w:val="clear" w:color="auto" w:fill="F2F2F2" w:themeFill="background1" w:themeFillShade="F2"/>
            <w:vAlign w:val="center"/>
          </w:tcPr>
          <w:p w14:paraId="29C19B2F" w14:textId="77777777" w:rsidR="00AA58C9" w:rsidRPr="00C355A6" w:rsidRDefault="00AA58C9"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4.2</w:t>
            </w:r>
          </w:p>
        </w:tc>
        <w:tc>
          <w:tcPr>
            <w:tcW w:w="9214" w:type="dxa"/>
            <w:shd w:val="clear" w:color="auto" w:fill="F2F2F2" w:themeFill="background1" w:themeFillShade="F2"/>
          </w:tcPr>
          <w:p w14:paraId="036B253B" w14:textId="3452F139" w:rsidR="00AA58C9" w:rsidRPr="00875A79" w:rsidRDefault="00AA58C9"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Vysoká škola má zajištěnu infrastrukturu pro výuku ve studijním programu, zejména odpovídající materiální a technické zabezpečení, dostatečné a provozuschopné výukové a studijní prostory, vybavení učeben a laboratoří pomůckami a laboratorním a výukovým zařízením, které odpovídá danému typu a profilu studijního programu a počtu studentů.</w:t>
            </w:r>
          </w:p>
        </w:tc>
      </w:tr>
      <w:tr w:rsidR="00AA58C9" w:rsidRPr="00C355A6" w14:paraId="2F36549D" w14:textId="77777777" w:rsidTr="00BE1071">
        <w:trPr>
          <w:trHeight w:val="20"/>
        </w:trPr>
        <w:tc>
          <w:tcPr>
            <w:tcW w:w="1418" w:type="dxa"/>
            <w:tcBorders>
              <w:right w:val="nil"/>
            </w:tcBorders>
            <w:shd w:val="clear" w:color="auto" w:fill="F2F2F2" w:themeFill="background1" w:themeFillShade="F2"/>
            <w:vAlign w:val="center"/>
          </w:tcPr>
          <w:p w14:paraId="2DC040AD" w14:textId="77777777" w:rsidR="00AA58C9" w:rsidRPr="00C355A6" w:rsidRDefault="00AA58C9"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4.3</w:t>
            </w:r>
          </w:p>
        </w:tc>
        <w:tc>
          <w:tcPr>
            <w:tcW w:w="9214" w:type="dxa"/>
            <w:shd w:val="clear" w:color="auto" w:fill="F2F2F2" w:themeFill="background1" w:themeFillShade="F2"/>
          </w:tcPr>
          <w:p w14:paraId="437DEA37" w14:textId="4033111F" w:rsidR="00AA58C9" w:rsidRPr="00875A79" w:rsidRDefault="00AA58C9"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Studenti mají dostatečný přístup k odborné literatuře a dalším informačním zdrojům odpovídajícím danému typu i profilu studijního programu.</w:t>
            </w:r>
          </w:p>
        </w:tc>
      </w:tr>
      <w:tr w:rsidR="00BE1071" w:rsidRPr="00C355A6" w14:paraId="4C1933A2" w14:textId="77777777" w:rsidTr="00BE1071">
        <w:trPr>
          <w:trHeight w:val="20"/>
        </w:trPr>
        <w:tc>
          <w:tcPr>
            <w:tcW w:w="1418" w:type="dxa"/>
            <w:tcBorders>
              <w:right w:val="nil"/>
            </w:tcBorders>
            <w:shd w:val="clear" w:color="auto" w:fill="F2F2F2" w:themeFill="background1" w:themeFillShade="F2"/>
            <w:vAlign w:val="center"/>
          </w:tcPr>
          <w:p w14:paraId="1ED35F52" w14:textId="712AE9E3" w:rsidR="00BE1071" w:rsidRPr="00C355A6" w:rsidRDefault="00BE1071" w:rsidP="00C355A6">
            <w:pPr>
              <w:spacing w:after="0" w:line="240" w:lineRule="auto"/>
              <w:jc w:val="center"/>
              <w:rPr>
                <w:rFonts w:ascii="Times New Roman" w:hAnsi="Times New Roman" w:cs="Times New Roman"/>
                <w:color w:val="000000"/>
              </w:rPr>
            </w:pPr>
            <w:r>
              <w:rPr>
                <w:rFonts w:ascii="Times New Roman" w:hAnsi="Times New Roman" w:cs="Times New Roman"/>
                <w:color w:val="000000"/>
              </w:rPr>
              <w:t>WFME 6.3</w:t>
            </w:r>
          </w:p>
        </w:tc>
        <w:tc>
          <w:tcPr>
            <w:tcW w:w="9214" w:type="dxa"/>
            <w:shd w:val="clear" w:color="auto" w:fill="F2F2F2" w:themeFill="background1" w:themeFillShade="F2"/>
          </w:tcPr>
          <w:p w14:paraId="2DFC88CF" w14:textId="6F1B118E" w:rsidR="00BE1071" w:rsidRPr="00875A79" w:rsidRDefault="00BE1071"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Fakulta poskytuje dostatečný přístup k virtuálním a fyzickým informačním zdrojům na podporu své mise a kurikula.</w:t>
            </w:r>
          </w:p>
        </w:tc>
      </w:tr>
      <w:tr w:rsidR="00BE1071" w:rsidRPr="00C355A6" w14:paraId="078E7D35" w14:textId="77777777" w:rsidTr="00BE1071">
        <w:trPr>
          <w:trHeight w:val="20"/>
        </w:trPr>
        <w:tc>
          <w:tcPr>
            <w:tcW w:w="1418" w:type="dxa"/>
            <w:tcBorders>
              <w:right w:val="nil"/>
            </w:tcBorders>
            <w:shd w:val="clear" w:color="auto" w:fill="F2F2F2" w:themeFill="background1" w:themeFillShade="F2"/>
            <w:vAlign w:val="center"/>
          </w:tcPr>
          <w:p w14:paraId="193F006A" w14:textId="6ED73EBC" w:rsidR="00BE1071" w:rsidRPr="00C355A6" w:rsidRDefault="00BE1071" w:rsidP="00C355A6">
            <w:pPr>
              <w:spacing w:after="0" w:line="240" w:lineRule="auto"/>
              <w:jc w:val="center"/>
              <w:rPr>
                <w:rFonts w:ascii="Times New Roman" w:hAnsi="Times New Roman" w:cs="Times New Roman"/>
                <w:color w:val="000000"/>
              </w:rPr>
            </w:pPr>
            <w:r>
              <w:rPr>
                <w:rFonts w:ascii="Times New Roman" w:hAnsi="Times New Roman" w:cs="Times New Roman"/>
                <w:color w:val="000000"/>
              </w:rPr>
              <w:t>WFME 6.2</w:t>
            </w:r>
          </w:p>
        </w:tc>
        <w:tc>
          <w:tcPr>
            <w:tcW w:w="9214" w:type="dxa"/>
            <w:shd w:val="clear" w:color="auto" w:fill="F2F2F2" w:themeFill="background1" w:themeFillShade="F2"/>
          </w:tcPr>
          <w:p w14:paraId="20FF91F1" w14:textId="7F1095E5" w:rsidR="00BE1071" w:rsidRPr="00875A79" w:rsidRDefault="00BE1071"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Fakulta má náležité a dostatečné zdroje k zajištění požadované klinické praxe pro studenty.</w:t>
            </w:r>
          </w:p>
        </w:tc>
      </w:tr>
      <w:tr w:rsidR="00AA58C9" w:rsidRPr="00C355A6" w14:paraId="32126679" w14:textId="77777777" w:rsidTr="00AF1F46">
        <w:trPr>
          <w:trHeight w:val="20"/>
        </w:trPr>
        <w:tc>
          <w:tcPr>
            <w:tcW w:w="1418" w:type="dxa"/>
            <w:tcBorders>
              <w:right w:val="nil"/>
            </w:tcBorders>
            <w:shd w:val="clear" w:color="auto" w:fill="D9D9D9" w:themeFill="background1" w:themeFillShade="D9"/>
            <w:vAlign w:val="center"/>
          </w:tcPr>
          <w:p w14:paraId="60594F6C" w14:textId="77777777" w:rsidR="00AA58C9" w:rsidRPr="00C355A6" w:rsidRDefault="00AA58C9"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5.1</w:t>
            </w:r>
          </w:p>
        </w:tc>
        <w:tc>
          <w:tcPr>
            <w:tcW w:w="9214" w:type="dxa"/>
            <w:shd w:val="clear" w:color="auto" w:fill="D9D9D9" w:themeFill="background1" w:themeFillShade="D9"/>
          </w:tcPr>
          <w:p w14:paraId="5D48D399" w14:textId="77777777" w:rsidR="00AA58C9" w:rsidRPr="00875A79" w:rsidRDefault="00AA58C9"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Vysoká škola má v dostatečné míře vymezeny pravomoci a odpovědnost garanta studijního programu tak, aby byla zajištěna kvalita studijního programu.</w:t>
            </w:r>
          </w:p>
        </w:tc>
      </w:tr>
      <w:tr w:rsidR="00AA58C9" w:rsidRPr="00C355A6" w14:paraId="209A7868" w14:textId="77777777" w:rsidTr="00AF1F46">
        <w:trPr>
          <w:trHeight w:val="20"/>
        </w:trPr>
        <w:tc>
          <w:tcPr>
            <w:tcW w:w="1418" w:type="dxa"/>
            <w:tcBorders>
              <w:right w:val="nil"/>
            </w:tcBorders>
            <w:shd w:val="clear" w:color="auto" w:fill="D9D9D9" w:themeFill="background1" w:themeFillShade="D9"/>
            <w:vAlign w:val="center"/>
          </w:tcPr>
          <w:p w14:paraId="3D5E3B8D" w14:textId="35521AA4" w:rsidR="00AA58C9" w:rsidRPr="00C355A6" w:rsidRDefault="00AA58C9"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lastRenderedPageBreak/>
              <w:t>5.2</w:t>
            </w:r>
          </w:p>
        </w:tc>
        <w:tc>
          <w:tcPr>
            <w:tcW w:w="9214" w:type="dxa"/>
            <w:shd w:val="clear" w:color="auto" w:fill="D9D9D9" w:themeFill="background1" w:themeFillShade="D9"/>
          </w:tcPr>
          <w:p w14:paraId="631F5501" w14:textId="3565BD8E" w:rsidR="00AA58C9" w:rsidRPr="00875A79" w:rsidRDefault="00AA58C9"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Garantem je akademický pracovník, který byl jmenován profesorem nebo jmenován docentem v oboru, který odpovídá dané oblasti nebo oblastem vzdělávání v rámci které nebo v rámci kterých má být daný magisterský studijní program uskutečňován, a který v daném oboru v posledních pěti letech vykonával vědeckou činnost.</w:t>
            </w:r>
          </w:p>
        </w:tc>
      </w:tr>
      <w:tr w:rsidR="00AA58C9" w:rsidRPr="00C355A6" w14:paraId="33B8D154" w14:textId="77777777" w:rsidTr="00AF1F46">
        <w:trPr>
          <w:trHeight w:val="20"/>
        </w:trPr>
        <w:tc>
          <w:tcPr>
            <w:tcW w:w="1418" w:type="dxa"/>
            <w:tcBorders>
              <w:right w:val="nil"/>
            </w:tcBorders>
            <w:shd w:val="clear" w:color="auto" w:fill="D9D9D9" w:themeFill="background1" w:themeFillShade="D9"/>
            <w:vAlign w:val="center"/>
          </w:tcPr>
          <w:p w14:paraId="54935067" w14:textId="77777777" w:rsidR="00AA58C9" w:rsidRPr="00C355A6" w:rsidRDefault="00AA58C9"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5.3</w:t>
            </w:r>
          </w:p>
        </w:tc>
        <w:tc>
          <w:tcPr>
            <w:tcW w:w="9214" w:type="dxa"/>
            <w:shd w:val="clear" w:color="auto" w:fill="D9D9D9" w:themeFill="background1" w:themeFillShade="D9"/>
          </w:tcPr>
          <w:p w14:paraId="32805D61" w14:textId="77777777" w:rsidR="00AA58C9" w:rsidRPr="00875A79" w:rsidRDefault="00AA58C9"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Garant je akademickým pracovníkem příslušné vysoké školy, který působí na vysoké škole jako akademický pracovník na základě pracovního nebo služebního poměru nebo poměrů s celkovou týdenní pracovní dobou odpovídající stanovené týdenní pracovní době podle § 79 zákoníku práce. V případě, že jde o studijní program uskutečňovaný na součásti vysoké školy, platí též, že garant studijního programu působí na této součásti jako akademický pracovník na základě pracovního nebo služebního poměru podle věty první s týdenní pracovní dobou odpovídající alespoň polovině stanovené týdenní pracovní doby podle § 79 zákoníku práce. Případné další pracovní nebo služební poměry garanta studijního programu, na základě kterých působí jako akademický pracovník na téže nebo jiných vysokých školách nebo na zahraniční vysoké škole nebo tuzemské právnické osobě podle § 93a zákona o vysokých školách, nezakládají povinnost výkonu práce nebo přítomnosti na pracovišti v celkovém rozsahu přesahujícím polovinu stanovené týdenní pracovní doby podle § 79 zákoníku práce.</w:t>
            </w:r>
          </w:p>
        </w:tc>
      </w:tr>
      <w:tr w:rsidR="00AA58C9" w:rsidRPr="00C355A6" w14:paraId="63E544CA" w14:textId="77777777" w:rsidTr="00AF1F46">
        <w:trPr>
          <w:trHeight w:val="20"/>
        </w:trPr>
        <w:tc>
          <w:tcPr>
            <w:tcW w:w="1418" w:type="dxa"/>
            <w:tcBorders>
              <w:right w:val="nil"/>
            </w:tcBorders>
            <w:shd w:val="clear" w:color="auto" w:fill="D9D9D9" w:themeFill="background1" w:themeFillShade="D9"/>
            <w:vAlign w:val="center"/>
          </w:tcPr>
          <w:p w14:paraId="54435D81" w14:textId="77777777" w:rsidR="00AA58C9" w:rsidRPr="00C355A6" w:rsidRDefault="00AA58C9"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5.4</w:t>
            </w:r>
          </w:p>
        </w:tc>
        <w:tc>
          <w:tcPr>
            <w:tcW w:w="9214" w:type="dxa"/>
            <w:shd w:val="clear" w:color="auto" w:fill="D9D9D9" w:themeFill="background1" w:themeFillShade="D9"/>
          </w:tcPr>
          <w:p w14:paraId="3766FD79" w14:textId="77777777" w:rsidR="00AA58C9" w:rsidRPr="00875A79" w:rsidRDefault="00AA58C9"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Garant studijního programu splňuje podmínky týkající se maximálního počtu garantovaných studijních programů.</w:t>
            </w:r>
          </w:p>
        </w:tc>
      </w:tr>
      <w:tr w:rsidR="00AF1F46" w:rsidRPr="00C355A6" w14:paraId="0B6C37AE" w14:textId="77777777" w:rsidTr="00AF1F46">
        <w:trPr>
          <w:trHeight w:val="20"/>
        </w:trPr>
        <w:tc>
          <w:tcPr>
            <w:tcW w:w="1418" w:type="dxa"/>
            <w:tcBorders>
              <w:right w:val="nil"/>
            </w:tcBorders>
            <w:shd w:val="clear" w:color="auto" w:fill="F2F2F2" w:themeFill="background1" w:themeFillShade="F2"/>
            <w:vAlign w:val="center"/>
          </w:tcPr>
          <w:p w14:paraId="18845631" w14:textId="77C6203A" w:rsidR="00AF1F46" w:rsidRPr="00C355A6" w:rsidRDefault="00AF1F46" w:rsidP="00C355A6">
            <w:pPr>
              <w:spacing w:after="0" w:line="240" w:lineRule="auto"/>
              <w:jc w:val="center"/>
              <w:rPr>
                <w:rFonts w:ascii="Times New Roman" w:hAnsi="Times New Roman" w:cs="Times New Roman"/>
                <w:color w:val="000000"/>
              </w:rPr>
            </w:pPr>
            <w:r>
              <w:rPr>
                <w:rFonts w:ascii="Times New Roman" w:hAnsi="Times New Roman" w:cs="Times New Roman"/>
                <w:color w:val="000000"/>
              </w:rPr>
              <w:t>WFME 5.1</w:t>
            </w:r>
          </w:p>
        </w:tc>
        <w:tc>
          <w:tcPr>
            <w:tcW w:w="9214" w:type="dxa"/>
            <w:shd w:val="clear" w:color="auto" w:fill="F2F2F2" w:themeFill="background1" w:themeFillShade="F2"/>
          </w:tcPr>
          <w:p w14:paraId="27EB5D6F" w14:textId="28231AA8" w:rsidR="00AF1F46" w:rsidRPr="00875A79" w:rsidRDefault="00AF1F46"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Fakulta má dostatečný počet i škálu kvalifikovaných akademických pracovníků potřebných pro realizaci kurikula vzhledem k počtu studentů a stylu výuky a učení.</w:t>
            </w:r>
          </w:p>
        </w:tc>
      </w:tr>
      <w:tr w:rsidR="00AA58C9" w:rsidRPr="00C355A6" w14:paraId="148DDA63" w14:textId="77777777" w:rsidTr="00AF1F46">
        <w:trPr>
          <w:trHeight w:val="20"/>
        </w:trPr>
        <w:tc>
          <w:tcPr>
            <w:tcW w:w="1418" w:type="dxa"/>
            <w:tcBorders>
              <w:right w:val="nil"/>
            </w:tcBorders>
            <w:shd w:val="clear" w:color="auto" w:fill="F2F2F2" w:themeFill="background1" w:themeFillShade="F2"/>
            <w:vAlign w:val="center"/>
          </w:tcPr>
          <w:p w14:paraId="6D8CEE1E" w14:textId="77777777" w:rsidR="00AA58C9" w:rsidRPr="00C355A6" w:rsidRDefault="00AA58C9"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6.1</w:t>
            </w:r>
          </w:p>
        </w:tc>
        <w:tc>
          <w:tcPr>
            <w:tcW w:w="9214" w:type="dxa"/>
            <w:shd w:val="clear" w:color="auto" w:fill="F2F2F2" w:themeFill="background1" w:themeFillShade="F2"/>
          </w:tcPr>
          <w:p w14:paraId="5297F4F3" w14:textId="6CB68FAD" w:rsidR="00AA58C9" w:rsidRPr="00875A79" w:rsidRDefault="00AA58C9"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Personální zabezpečení studijního programu splňuje požadavky standardů pro akreditaci daného typu studijního programu, týkající se pracovní doby akademických pracovníků na dané vysoké škole a ostatních vysokých školách.</w:t>
            </w:r>
          </w:p>
        </w:tc>
      </w:tr>
      <w:tr w:rsidR="00AA58C9" w:rsidRPr="00C355A6" w14:paraId="6C284547" w14:textId="77777777" w:rsidTr="00AF1F46">
        <w:trPr>
          <w:trHeight w:val="20"/>
        </w:trPr>
        <w:tc>
          <w:tcPr>
            <w:tcW w:w="1418" w:type="dxa"/>
            <w:tcBorders>
              <w:right w:val="nil"/>
            </w:tcBorders>
            <w:shd w:val="clear" w:color="auto" w:fill="F2F2F2" w:themeFill="background1" w:themeFillShade="F2"/>
            <w:vAlign w:val="center"/>
          </w:tcPr>
          <w:p w14:paraId="20FFB4D9" w14:textId="77777777" w:rsidR="00AA58C9" w:rsidRPr="00C355A6" w:rsidRDefault="00AA58C9"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6.2</w:t>
            </w:r>
          </w:p>
        </w:tc>
        <w:tc>
          <w:tcPr>
            <w:tcW w:w="9214" w:type="dxa"/>
            <w:shd w:val="clear" w:color="auto" w:fill="F2F2F2" w:themeFill="background1" w:themeFillShade="F2"/>
          </w:tcPr>
          <w:p w14:paraId="0CC9BB1B" w14:textId="30AF0F7C" w:rsidR="00AA58C9" w:rsidRPr="00875A79" w:rsidRDefault="00AA58C9"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 xml:space="preserve">Počet akademických pracovníků zabezpečujících studijní program, o jehož akreditaci je žádáno, odpovídá typu studijního programu, oblasti nebo oblastem vzdělávání, v rámci které nebo v rámci kterých má být studijní program uskutečňován, formě studia, metodám výuky, předpokládanému počtu studentů a profilu studijního programu. Žádá-li vysoká škola o rozšíření nebo prodloužení platnosti akreditace studijního programu, je počet akademických pracovníků zabezpečujících studijní program dále přiměřený i skutečnému počtu studentů. Vysoká škola má vypracovánu účinnou strategii personálního rozvoje akademických pracovníků a existují motivační nástroje k tomuto rozvoji. </w:t>
            </w:r>
          </w:p>
        </w:tc>
      </w:tr>
      <w:tr w:rsidR="00487E0A" w:rsidRPr="00C355A6" w14:paraId="106F5AEA" w14:textId="77777777" w:rsidTr="00AF1F46">
        <w:trPr>
          <w:trHeight w:val="20"/>
        </w:trPr>
        <w:tc>
          <w:tcPr>
            <w:tcW w:w="1418" w:type="dxa"/>
            <w:tcBorders>
              <w:right w:val="nil"/>
            </w:tcBorders>
            <w:shd w:val="clear" w:color="auto" w:fill="F2F2F2" w:themeFill="background1" w:themeFillShade="F2"/>
            <w:vAlign w:val="center"/>
          </w:tcPr>
          <w:p w14:paraId="13934D8D" w14:textId="689D6FB9" w:rsidR="00487E0A" w:rsidRPr="00C355A6" w:rsidRDefault="00487E0A" w:rsidP="00487E0A">
            <w:pPr>
              <w:spacing w:after="0" w:line="240" w:lineRule="auto"/>
              <w:jc w:val="center"/>
              <w:rPr>
                <w:rFonts w:ascii="Times New Roman" w:hAnsi="Times New Roman" w:cs="Times New Roman"/>
                <w:color w:val="000000"/>
              </w:rPr>
            </w:pPr>
            <w:r>
              <w:rPr>
                <w:rFonts w:ascii="Times New Roman" w:hAnsi="Times New Roman" w:cs="Times New Roman"/>
                <w:color w:val="000000"/>
              </w:rPr>
              <w:t>WFME 5.</w:t>
            </w:r>
            <w:r w:rsidR="002407C3">
              <w:rPr>
                <w:rFonts w:ascii="Times New Roman" w:hAnsi="Times New Roman" w:cs="Times New Roman"/>
                <w:color w:val="000000"/>
              </w:rPr>
              <w:t>3</w:t>
            </w:r>
          </w:p>
        </w:tc>
        <w:tc>
          <w:tcPr>
            <w:tcW w:w="9214" w:type="dxa"/>
            <w:shd w:val="clear" w:color="auto" w:fill="F2F2F2" w:themeFill="background1" w:themeFillShade="F2"/>
          </w:tcPr>
          <w:p w14:paraId="1512E1DB" w14:textId="6D298B88" w:rsidR="00487E0A" w:rsidRPr="00875A79" w:rsidRDefault="00487E0A" w:rsidP="00487E0A">
            <w:pPr>
              <w:spacing w:after="0" w:line="240" w:lineRule="auto"/>
              <w:rPr>
                <w:rFonts w:ascii="Times New Roman" w:hAnsi="Times New Roman" w:cs="Times New Roman"/>
                <w:color w:val="000000"/>
              </w:rPr>
            </w:pPr>
            <w:r w:rsidRPr="00875A79">
              <w:rPr>
                <w:rFonts w:ascii="Times New Roman" w:hAnsi="Times New Roman" w:cs="Times New Roman"/>
                <w:color w:val="000000"/>
              </w:rPr>
              <w:t>Fakulta realizuje stanovenou politiku pro další profesní rozvoj svých akademických pracovníků.</w:t>
            </w:r>
          </w:p>
        </w:tc>
      </w:tr>
      <w:tr w:rsidR="00AA58C9" w:rsidRPr="00C355A6" w14:paraId="40B15073" w14:textId="77777777" w:rsidTr="00AF1F46">
        <w:trPr>
          <w:trHeight w:val="20"/>
        </w:trPr>
        <w:tc>
          <w:tcPr>
            <w:tcW w:w="1418" w:type="dxa"/>
            <w:tcBorders>
              <w:right w:val="nil"/>
            </w:tcBorders>
            <w:shd w:val="clear" w:color="auto" w:fill="F2F2F2" w:themeFill="background1" w:themeFillShade="F2"/>
            <w:vAlign w:val="center"/>
          </w:tcPr>
          <w:p w14:paraId="5B23A4D1" w14:textId="77777777" w:rsidR="00AA58C9" w:rsidRPr="00C355A6" w:rsidRDefault="00AA58C9"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6.4</w:t>
            </w:r>
          </w:p>
        </w:tc>
        <w:tc>
          <w:tcPr>
            <w:tcW w:w="9214" w:type="dxa"/>
            <w:shd w:val="clear" w:color="auto" w:fill="F2F2F2" w:themeFill="background1" w:themeFillShade="F2"/>
          </w:tcPr>
          <w:p w14:paraId="0176C311" w14:textId="77777777" w:rsidR="00AA58C9" w:rsidRPr="00875A79" w:rsidRDefault="00AA58C9"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Základní teoretické studijní předměty profilujícího základu studijního programu mají garanty, kteří se významně podílejí na jejich výuce, například vedením přednášek. Studijní program je dostatečně personálně zabezpečen i z hlediska doby platnosti jeho akreditace a perspektivy jeho rozvoje, a to zejména se zřetelem na délku týdenní pracovní doby garantů základních teoretických studijních předmětů profilujícího základu studijního programu a na dobu, na kterou je pracovní poměr těchto zaměstnanců k dané vysoké škole sjednán nebo na kterou je jeho sjednání zajištěno.</w:t>
            </w:r>
          </w:p>
        </w:tc>
      </w:tr>
      <w:tr w:rsidR="00AA58C9" w:rsidRPr="00C355A6" w14:paraId="589C566C" w14:textId="77777777" w:rsidTr="00AF1F46">
        <w:trPr>
          <w:trHeight w:val="20"/>
        </w:trPr>
        <w:tc>
          <w:tcPr>
            <w:tcW w:w="1418" w:type="dxa"/>
            <w:tcBorders>
              <w:right w:val="nil"/>
            </w:tcBorders>
            <w:shd w:val="clear" w:color="auto" w:fill="F2F2F2" w:themeFill="background1" w:themeFillShade="F2"/>
            <w:vAlign w:val="center"/>
          </w:tcPr>
          <w:p w14:paraId="6D681AC0" w14:textId="77777777" w:rsidR="00AA58C9" w:rsidRPr="00C355A6" w:rsidRDefault="00AA58C9"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6.5</w:t>
            </w:r>
          </w:p>
        </w:tc>
        <w:tc>
          <w:tcPr>
            <w:tcW w:w="9214" w:type="dxa"/>
            <w:shd w:val="clear" w:color="auto" w:fill="F2F2F2" w:themeFill="background1" w:themeFillShade="F2"/>
          </w:tcPr>
          <w:p w14:paraId="4DD722D2" w14:textId="13E9EDAB" w:rsidR="00AA58C9" w:rsidRPr="00875A79" w:rsidRDefault="00AF1F46"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V</w:t>
            </w:r>
            <w:r w:rsidR="00AA58C9" w:rsidRPr="00875A79">
              <w:rPr>
                <w:rFonts w:ascii="Times New Roman" w:hAnsi="Times New Roman" w:cs="Times New Roman"/>
                <w:color w:val="000000"/>
              </w:rPr>
              <w:t xml:space="preserve">yučující zajišťující uskutečňování </w:t>
            </w:r>
            <w:r w:rsidRPr="00875A79">
              <w:rPr>
                <w:rFonts w:ascii="Times New Roman" w:hAnsi="Times New Roman" w:cs="Times New Roman"/>
                <w:color w:val="000000"/>
              </w:rPr>
              <w:t xml:space="preserve">studijního programu mají </w:t>
            </w:r>
            <w:r w:rsidR="00AA58C9" w:rsidRPr="00875A79">
              <w:rPr>
                <w:rFonts w:ascii="Times New Roman" w:hAnsi="Times New Roman" w:cs="Times New Roman"/>
                <w:color w:val="000000"/>
              </w:rPr>
              <w:t>vysokoškolské vzdělání získané absolvováním alespoň magisterského studijního programu nebo jeho ekvivalent získaný na zahraniční vysoké škole.</w:t>
            </w:r>
          </w:p>
        </w:tc>
      </w:tr>
      <w:tr w:rsidR="00AA58C9" w:rsidRPr="00C355A6" w14:paraId="32E2B77C" w14:textId="77777777" w:rsidTr="00AF1F46">
        <w:trPr>
          <w:trHeight w:val="20"/>
        </w:trPr>
        <w:tc>
          <w:tcPr>
            <w:tcW w:w="1418" w:type="dxa"/>
            <w:tcBorders>
              <w:right w:val="nil"/>
            </w:tcBorders>
            <w:shd w:val="clear" w:color="auto" w:fill="F2F2F2" w:themeFill="background1" w:themeFillShade="F2"/>
            <w:vAlign w:val="center"/>
          </w:tcPr>
          <w:p w14:paraId="1252BB99" w14:textId="1FB04DB2" w:rsidR="00AA58C9" w:rsidRPr="00C355A6" w:rsidRDefault="00AA58C9"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6.8</w:t>
            </w:r>
          </w:p>
        </w:tc>
        <w:tc>
          <w:tcPr>
            <w:tcW w:w="9214" w:type="dxa"/>
            <w:shd w:val="clear" w:color="auto" w:fill="F2F2F2" w:themeFill="background1" w:themeFillShade="F2"/>
          </w:tcPr>
          <w:p w14:paraId="0AF38738" w14:textId="51FF19F6" w:rsidR="00AA58C9" w:rsidRPr="00875A79" w:rsidRDefault="00AA58C9"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Studijní program je zabezpečen akademickými pracovníky, popřípadě i dalšími odborníky s příslušnou kvalifikací pro zajištění jednotlivých studijních předmětů. Celková struktura akademických pracovníků zabezpečujících studijní program odpovídá z hlediska kvalifikace, věku, délky týdenní pracovní doby a zkušeností s působením v zahraničí nebo v praxi struktuře studijního plánu, cílům a profilu studijního programu, přičemž akademičtí pracovníci vykonávají tvůrčí činnost, jež odpovídá tomuto nebo příbuznému studijnímu programu.</w:t>
            </w:r>
          </w:p>
        </w:tc>
      </w:tr>
      <w:tr w:rsidR="00AA58C9" w:rsidRPr="00C355A6" w14:paraId="14F6A961" w14:textId="77777777" w:rsidTr="00AF1F46">
        <w:trPr>
          <w:trHeight w:val="20"/>
        </w:trPr>
        <w:tc>
          <w:tcPr>
            <w:tcW w:w="1418" w:type="dxa"/>
            <w:tcBorders>
              <w:right w:val="nil"/>
            </w:tcBorders>
            <w:shd w:val="clear" w:color="auto" w:fill="F2F2F2" w:themeFill="background1" w:themeFillShade="F2"/>
            <w:vAlign w:val="center"/>
          </w:tcPr>
          <w:p w14:paraId="07B0B8EA" w14:textId="49A16AE6" w:rsidR="00AA58C9" w:rsidRPr="00C355A6" w:rsidRDefault="00AA58C9"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6.9</w:t>
            </w:r>
          </w:p>
        </w:tc>
        <w:tc>
          <w:tcPr>
            <w:tcW w:w="9214" w:type="dxa"/>
            <w:shd w:val="clear" w:color="auto" w:fill="F2F2F2" w:themeFill="background1" w:themeFillShade="F2"/>
          </w:tcPr>
          <w:p w14:paraId="21B2A8A0" w14:textId="1B25CD5A" w:rsidR="00AA58C9" w:rsidRPr="00875A79" w:rsidRDefault="00AA58C9"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 xml:space="preserve">Studijní předměty profilujícího základu magisterského studijního programu jsou garantovány akademickými pracovníky s vědeckou hodností. </w:t>
            </w:r>
          </w:p>
        </w:tc>
      </w:tr>
      <w:tr w:rsidR="00AA58C9" w:rsidRPr="00C355A6" w14:paraId="24FFBD60" w14:textId="77777777" w:rsidTr="00AF1F46">
        <w:trPr>
          <w:trHeight w:val="20"/>
        </w:trPr>
        <w:tc>
          <w:tcPr>
            <w:tcW w:w="1418" w:type="dxa"/>
            <w:tcBorders>
              <w:right w:val="nil"/>
            </w:tcBorders>
            <w:shd w:val="clear" w:color="auto" w:fill="F2F2F2" w:themeFill="background1" w:themeFillShade="F2"/>
            <w:vAlign w:val="center"/>
          </w:tcPr>
          <w:p w14:paraId="55CCB51F" w14:textId="6309F7BF" w:rsidR="00AA58C9" w:rsidRPr="00C355A6" w:rsidRDefault="00AA58C9"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6.10</w:t>
            </w:r>
          </w:p>
        </w:tc>
        <w:tc>
          <w:tcPr>
            <w:tcW w:w="9214" w:type="dxa"/>
            <w:shd w:val="clear" w:color="auto" w:fill="F2F2F2" w:themeFill="background1" w:themeFillShade="F2"/>
          </w:tcPr>
          <w:p w14:paraId="294D39A9" w14:textId="246BF671" w:rsidR="00AA58C9" w:rsidRPr="00875A79" w:rsidRDefault="00AA58C9"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Základní teoretické studijní předměty profilujícího základu magisterského studijního programu jsou garantovány akademickými pracovníky jmenovanými profesorem nebo jmenovanými docentem v oboru, který odpovídá oblasti nebo oblastem vzdělávání, v rámci které nebo v rámci kterých má být daný magisterský studijní program uskutečňován nebo v oboru příbuzném.</w:t>
            </w:r>
          </w:p>
        </w:tc>
      </w:tr>
      <w:tr w:rsidR="00AA58C9" w:rsidRPr="00C355A6" w14:paraId="0F4BC336" w14:textId="77777777" w:rsidTr="00951117">
        <w:trPr>
          <w:trHeight w:val="20"/>
        </w:trPr>
        <w:tc>
          <w:tcPr>
            <w:tcW w:w="1418" w:type="dxa"/>
            <w:tcBorders>
              <w:right w:val="nil"/>
            </w:tcBorders>
            <w:shd w:val="clear" w:color="auto" w:fill="D9D9D9" w:themeFill="background1" w:themeFillShade="D9"/>
            <w:vAlign w:val="center"/>
          </w:tcPr>
          <w:p w14:paraId="523ABC01" w14:textId="77777777" w:rsidR="00AA58C9" w:rsidRPr="00C355A6" w:rsidRDefault="00AA58C9"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7.4</w:t>
            </w:r>
          </w:p>
        </w:tc>
        <w:tc>
          <w:tcPr>
            <w:tcW w:w="9214" w:type="dxa"/>
            <w:shd w:val="clear" w:color="auto" w:fill="D9D9D9" w:themeFill="background1" w:themeFillShade="D9"/>
          </w:tcPr>
          <w:p w14:paraId="324B5100" w14:textId="77777777" w:rsidR="00AA58C9" w:rsidRPr="00875A79" w:rsidRDefault="00AA58C9"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Studijní opory pro studium v cizím jazyce jsou zpracovány v příslušném cizím jazyce.</w:t>
            </w:r>
          </w:p>
        </w:tc>
      </w:tr>
      <w:tr w:rsidR="00AA58C9" w:rsidRPr="00C355A6" w14:paraId="46FFC1F7" w14:textId="77777777" w:rsidTr="00951117">
        <w:trPr>
          <w:trHeight w:val="20"/>
        </w:trPr>
        <w:tc>
          <w:tcPr>
            <w:tcW w:w="1418" w:type="dxa"/>
            <w:tcBorders>
              <w:right w:val="nil"/>
            </w:tcBorders>
            <w:shd w:val="clear" w:color="auto" w:fill="D9D9D9" w:themeFill="background1" w:themeFillShade="D9"/>
            <w:vAlign w:val="center"/>
          </w:tcPr>
          <w:p w14:paraId="688CB4BF" w14:textId="77777777" w:rsidR="00AA58C9" w:rsidRPr="00C355A6" w:rsidRDefault="00AA58C9"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7.5</w:t>
            </w:r>
          </w:p>
        </w:tc>
        <w:tc>
          <w:tcPr>
            <w:tcW w:w="9214" w:type="dxa"/>
            <w:shd w:val="clear" w:color="auto" w:fill="D9D9D9" w:themeFill="background1" w:themeFillShade="D9"/>
          </w:tcPr>
          <w:p w14:paraId="78FF042F" w14:textId="77777777" w:rsidR="00AA58C9" w:rsidRPr="00875A79" w:rsidRDefault="00AA58C9"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Pro studium ve studijním programu uskutečňovaném v cizím jazyce je k dispozici překlad příslušných vnitřních předpisů do  příslušného cizího jazyka.</w:t>
            </w:r>
          </w:p>
        </w:tc>
      </w:tr>
      <w:tr w:rsidR="00AA58C9" w:rsidRPr="00C355A6" w14:paraId="7AB4A3D8" w14:textId="77777777" w:rsidTr="00951117">
        <w:trPr>
          <w:trHeight w:val="20"/>
        </w:trPr>
        <w:tc>
          <w:tcPr>
            <w:tcW w:w="1418" w:type="dxa"/>
            <w:tcBorders>
              <w:right w:val="nil"/>
            </w:tcBorders>
            <w:shd w:val="clear" w:color="auto" w:fill="D9D9D9" w:themeFill="background1" w:themeFillShade="D9"/>
            <w:vAlign w:val="center"/>
          </w:tcPr>
          <w:p w14:paraId="5CC0FEFD" w14:textId="77777777" w:rsidR="00AA58C9" w:rsidRPr="00C355A6" w:rsidRDefault="00AA58C9"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lastRenderedPageBreak/>
              <w:t>7.6</w:t>
            </w:r>
          </w:p>
        </w:tc>
        <w:tc>
          <w:tcPr>
            <w:tcW w:w="9214" w:type="dxa"/>
            <w:shd w:val="clear" w:color="auto" w:fill="D9D9D9" w:themeFill="background1" w:themeFillShade="D9"/>
          </w:tcPr>
          <w:p w14:paraId="73031D14" w14:textId="77777777" w:rsidR="00AA58C9" w:rsidRPr="00875A79" w:rsidRDefault="00AA58C9"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Informace o přijímacím řízení a o průběhu studia ve studijním programu uskutečňovaném v cizím jazyce jsou pro uchazeče o studium a studenty dostupné v příslušném cizím jazyce na internetových stránkách vysoké školy. Ve studijním programu uskutečňovaném v cizím jazyce jsou zajištěny informace a komunikace o rozvrhu studia, o povinnostech vyplývajících ze studia ve studijním programu, o dokladech o studiu a o dalších informacích souvisejících se studiem v příslušném cizím jazyce. Studenti a akademičtí pracovníci mají přístup k informačním zdrojům a dalším, zejména poradenským, službám v cizím jazyce, ve kterém je uskutečňován studijní program.</w:t>
            </w:r>
          </w:p>
        </w:tc>
      </w:tr>
      <w:tr w:rsidR="00AA58C9" w:rsidRPr="00C355A6" w14:paraId="651EC8A5" w14:textId="77777777" w:rsidTr="00951117">
        <w:trPr>
          <w:trHeight w:val="20"/>
        </w:trPr>
        <w:tc>
          <w:tcPr>
            <w:tcW w:w="1418" w:type="dxa"/>
            <w:tcBorders>
              <w:right w:val="nil"/>
            </w:tcBorders>
            <w:shd w:val="clear" w:color="auto" w:fill="D9D9D9" w:themeFill="background1" w:themeFillShade="D9"/>
            <w:vAlign w:val="center"/>
          </w:tcPr>
          <w:p w14:paraId="7EFE8050" w14:textId="77777777" w:rsidR="00AA58C9" w:rsidRPr="00C355A6" w:rsidRDefault="00AA58C9"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7.7</w:t>
            </w:r>
          </w:p>
        </w:tc>
        <w:tc>
          <w:tcPr>
            <w:tcW w:w="9214" w:type="dxa"/>
            <w:shd w:val="clear" w:color="auto" w:fill="D9D9D9" w:themeFill="background1" w:themeFillShade="D9"/>
          </w:tcPr>
          <w:p w14:paraId="048D7E2B" w14:textId="22B992F2" w:rsidR="00AA58C9" w:rsidRPr="00875A79" w:rsidRDefault="00AA58C9"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Je-li součástí studia ve studijním programu uskutečňovaném v cizím jazyce i odborná praxe, zabezpečuje vysoká škola odborné vedení a další podmínky pro uskutečňování této praxe v příslušném cizím jazyce.</w:t>
            </w:r>
            <w:r w:rsidR="00BF71D1" w:rsidRPr="00875A79">
              <w:rPr>
                <w:rFonts w:ascii="Times New Roman" w:hAnsi="Times New Roman" w:cs="Times New Roman"/>
                <w:color w:val="000000"/>
              </w:rPr>
              <w:t xml:space="preserve"> V cizím jazyce je zajištěna i plnohodnotná realizace klinických praxí.</w:t>
            </w:r>
          </w:p>
        </w:tc>
      </w:tr>
      <w:tr w:rsidR="00AA58C9" w:rsidRPr="00C355A6" w14:paraId="069F73DE" w14:textId="77777777" w:rsidTr="00951117">
        <w:trPr>
          <w:trHeight w:val="20"/>
        </w:trPr>
        <w:tc>
          <w:tcPr>
            <w:tcW w:w="1418" w:type="dxa"/>
            <w:tcBorders>
              <w:right w:val="nil"/>
            </w:tcBorders>
            <w:shd w:val="clear" w:color="auto" w:fill="D9D9D9" w:themeFill="background1" w:themeFillShade="D9"/>
            <w:vAlign w:val="center"/>
          </w:tcPr>
          <w:p w14:paraId="69044B37" w14:textId="77777777" w:rsidR="00AA58C9" w:rsidRPr="00C355A6" w:rsidRDefault="00AA58C9"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7.8</w:t>
            </w:r>
          </w:p>
        </w:tc>
        <w:tc>
          <w:tcPr>
            <w:tcW w:w="9214" w:type="dxa"/>
            <w:shd w:val="clear" w:color="auto" w:fill="D9D9D9" w:themeFill="background1" w:themeFillShade="D9"/>
          </w:tcPr>
          <w:p w14:paraId="64C65EAF" w14:textId="77777777" w:rsidR="00AA58C9" w:rsidRPr="00875A79" w:rsidRDefault="00AA58C9"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Kvalifikační práce ve studijním programu uskutečňovaném v cizím jazyce jsou vypracovávány v cizím jazyce, ve kterém je studijní program uskutečňován. Oponentské posudky jsou zajištěny v příslušném cizím jazyce a dále v anglickém nebo českém jazyce.</w:t>
            </w:r>
          </w:p>
        </w:tc>
      </w:tr>
      <w:tr w:rsidR="00AA58C9" w:rsidRPr="00C355A6" w14:paraId="666D63BA" w14:textId="77777777" w:rsidTr="00951117">
        <w:trPr>
          <w:trHeight w:val="20"/>
        </w:trPr>
        <w:tc>
          <w:tcPr>
            <w:tcW w:w="1418" w:type="dxa"/>
            <w:tcBorders>
              <w:right w:val="nil"/>
            </w:tcBorders>
            <w:shd w:val="clear" w:color="auto" w:fill="D9D9D9" w:themeFill="background1" w:themeFillShade="D9"/>
            <w:vAlign w:val="center"/>
          </w:tcPr>
          <w:p w14:paraId="2E2CD00F" w14:textId="77777777" w:rsidR="00AA58C9" w:rsidRPr="00C355A6" w:rsidRDefault="00AA58C9" w:rsidP="00C355A6">
            <w:pPr>
              <w:spacing w:after="0" w:line="240" w:lineRule="auto"/>
              <w:jc w:val="center"/>
              <w:rPr>
                <w:rFonts w:ascii="Times New Roman" w:hAnsi="Times New Roman" w:cs="Times New Roman"/>
                <w:color w:val="000000"/>
              </w:rPr>
            </w:pPr>
            <w:r w:rsidRPr="00C355A6">
              <w:rPr>
                <w:rFonts w:ascii="Times New Roman" w:hAnsi="Times New Roman" w:cs="Times New Roman"/>
                <w:color w:val="000000"/>
              </w:rPr>
              <w:t>7.9</w:t>
            </w:r>
          </w:p>
        </w:tc>
        <w:tc>
          <w:tcPr>
            <w:tcW w:w="9214" w:type="dxa"/>
            <w:shd w:val="clear" w:color="auto" w:fill="D9D9D9" w:themeFill="background1" w:themeFillShade="D9"/>
          </w:tcPr>
          <w:p w14:paraId="0836A313" w14:textId="77777777" w:rsidR="00AA58C9" w:rsidRPr="00875A79" w:rsidRDefault="00AA58C9" w:rsidP="00C355A6">
            <w:pPr>
              <w:spacing w:after="0" w:line="240" w:lineRule="auto"/>
              <w:rPr>
                <w:rFonts w:ascii="Times New Roman" w:hAnsi="Times New Roman" w:cs="Times New Roman"/>
                <w:color w:val="000000"/>
              </w:rPr>
            </w:pPr>
            <w:r w:rsidRPr="00875A79">
              <w:rPr>
                <w:rFonts w:ascii="Times New Roman" w:hAnsi="Times New Roman" w:cs="Times New Roman"/>
                <w:color w:val="000000"/>
              </w:rPr>
              <w:t>Akademičtí pracovníci a další odborníci, kteří se podílejí na zajištění přednášek, seminářů a dalších forem výuky ve studijním programu uskutečňovaném v cizím jazyce, mají dostatečné znalosti daného cizího jazyka.</w:t>
            </w:r>
          </w:p>
        </w:tc>
      </w:tr>
    </w:tbl>
    <w:p w14:paraId="75420CB4" w14:textId="77777777" w:rsidR="009E517D" w:rsidRPr="000B3D78" w:rsidRDefault="009E517D" w:rsidP="000B3D78"/>
    <w:p w14:paraId="01EE567F" w14:textId="77777777" w:rsidR="009E517D" w:rsidRPr="000B3D78" w:rsidRDefault="009E517D" w:rsidP="00493DAD">
      <w:pPr>
        <w:tabs>
          <w:tab w:val="left" w:pos="2835"/>
        </w:tabs>
        <w:spacing w:before="120" w:after="120"/>
        <w:rPr>
          <w:sz w:val="28"/>
          <w:szCs w:val="28"/>
        </w:rPr>
      </w:pPr>
    </w:p>
    <w:sectPr w:rsidR="009E517D" w:rsidRPr="000B3D78" w:rsidSect="00651712">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60BCB" w14:textId="77777777" w:rsidR="00FA16FE" w:rsidRDefault="00FA16FE" w:rsidP="00561085">
      <w:pPr>
        <w:spacing w:after="0" w:line="240" w:lineRule="auto"/>
      </w:pPr>
      <w:r>
        <w:separator/>
      </w:r>
    </w:p>
  </w:endnote>
  <w:endnote w:type="continuationSeparator" w:id="0">
    <w:p w14:paraId="6818D092" w14:textId="77777777" w:rsidR="00FA16FE" w:rsidRDefault="00FA16FE" w:rsidP="00561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ECC68" w14:textId="2B56C511" w:rsidR="004E4F30" w:rsidRDefault="004E4F30" w:rsidP="00175912">
    <w:pPr>
      <w:pStyle w:val="Zpat"/>
      <w:framePr w:wrap="around" w:vAnchor="text" w:hAnchor="margin" w:xAlign="center" w:y="1"/>
      <w:rPr>
        <w:rStyle w:val="slostrnky"/>
        <w:rFonts w:cs="Arial"/>
      </w:rPr>
    </w:pPr>
    <w:r>
      <w:rPr>
        <w:rStyle w:val="slostrnky"/>
        <w:rFonts w:cs="Arial"/>
      </w:rPr>
      <w:fldChar w:fldCharType="begin"/>
    </w:r>
    <w:r>
      <w:rPr>
        <w:rStyle w:val="slostrnky"/>
        <w:rFonts w:cs="Arial"/>
      </w:rPr>
      <w:instrText xml:space="preserve">PAGE  </w:instrText>
    </w:r>
    <w:r>
      <w:rPr>
        <w:rStyle w:val="slostrnky"/>
        <w:rFonts w:cs="Arial"/>
      </w:rPr>
      <w:fldChar w:fldCharType="separate"/>
    </w:r>
    <w:r w:rsidR="00210F43">
      <w:rPr>
        <w:rStyle w:val="slostrnky"/>
        <w:rFonts w:cs="Arial"/>
        <w:noProof/>
      </w:rPr>
      <w:t>3</w:t>
    </w:r>
    <w:r>
      <w:rPr>
        <w:rStyle w:val="slostrnky"/>
        <w:rFonts w:cs="Arial"/>
      </w:rPr>
      <w:fldChar w:fldCharType="end"/>
    </w:r>
  </w:p>
  <w:p w14:paraId="46248840" w14:textId="77777777" w:rsidR="004E4F30" w:rsidRDefault="004E4F3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AF2A2" w14:textId="77777777" w:rsidR="004E4F30" w:rsidRDefault="004E4F30" w:rsidP="00175912">
    <w:pPr>
      <w:pStyle w:val="Zpat"/>
      <w:framePr w:wrap="around" w:vAnchor="text" w:hAnchor="margin" w:xAlign="center" w:y="1"/>
      <w:rPr>
        <w:rStyle w:val="slostrnky"/>
        <w:rFonts w:cs="Arial"/>
      </w:rPr>
    </w:pPr>
    <w:r>
      <w:rPr>
        <w:rStyle w:val="slostrnky"/>
        <w:rFonts w:cs="Arial"/>
      </w:rPr>
      <w:fldChar w:fldCharType="begin"/>
    </w:r>
    <w:r>
      <w:rPr>
        <w:rStyle w:val="slostrnky"/>
        <w:rFonts w:cs="Arial"/>
      </w:rPr>
      <w:instrText xml:space="preserve">PAGE  </w:instrText>
    </w:r>
    <w:r>
      <w:rPr>
        <w:rStyle w:val="slostrnky"/>
        <w:rFonts w:cs="Arial"/>
      </w:rPr>
      <w:fldChar w:fldCharType="separate"/>
    </w:r>
    <w:r>
      <w:rPr>
        <w:rStyle w:val="slostrnky"/>
        <w:rFonts w:cs="Arial"/>
        <w:noProof/>
      </w:rPr>
      <w:t>2</w:t>
    </w:r>
    <w:r>
      <w:rPr>
        <w:rStyle w:val="slostrnky"/>
        <w:rFonts w:cs="Arial"/>
      </w:rPr>
      <w:fldChar w:fldCharType="end"/>
    </w:r>
  </w:p>
  <w:p w14:paraId="359B1496" w14:textId="77777777" w:rsidR="004E4F30" w:rsidRDefault="004E4F30">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86F48" w14:textId="77777777" w:rsidR="00FA16FE" w:rsidRDefault="00FA16FE" w:rsidP="00561085">
      <w:pPr>
        <w:spacing w:after="0" w:line="240" w:lineRule="auto"/>
      </w:pPr>
      <w:r>
        <w:separator/>
      </w:r>
    </w:p>
  </w:footnote>
  <w:footnote w:type="continuationSeparator" w:id="0">
    <w:p w14:paraId="3959B30A" w14:textId="77777777" w:rsidR="00FA16FE" w:rsidRDefault="00FA16FE" w:rsidP="00561085">
      <w:pPr>
        <w:spacing w:after="0" w:line="240" w:lineRule="auto"/>
      </w:pPr>
      <w:r>
        <w:continuationSeparator/>
      </w:r>
    </w:p>
  </w:footnote>
  <w:footnote w:id="1">
    <w:p w14:paraId="120E8818" w14:textId="51953F1A" w:rsidR="002768E3" w:rsidRDefault="002768E3" w:rsidP="002768E3">
      <w:pPr>
        <w:pStyle w:val="Textpoznpodarou"/>
      </w:pPr>
      <w:r>
        <w:rPr>
          <w:rStyle w:val="Znakapoznpodarou"/>
        </w:rPr>
        <w:footnoteRef/>
      </w:r>
      <w:r>
        <w:t xml:space="preserve"> </w:t>
      </w:r>
      <w:r w:rsidR="00875A79">
        <w:t xml:space="preserve">Požadavky </w:t>
      </w:r>
      <w:r w:rsidR="00875A79" w:rsidRPr="00875A79">
        <w:rPr>
          <w:i/>
          <w:iCs/>
        </w:rPr>
        <w:t>Globálních standardů</w:t>
      </w:r>
      <w:r w:rsidRPr="00875A79">
        <w:rPr>
          <w:i/>
          <w:iCs/>
        </w:rPr>
        <w:t xml:space="preserve"> World Federation for Medical Education</w:t>
      </w:r>
      <w:r w:rsidRPr="002768E3">
        <w:t xml:space="preserve"> jsou v celém dokumentu označena jako „WFME“. V ostatních případech se jedná o standardy pro akreditace dle nařízení vlády č. 274/2016 Sb.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0A54"/>
    <w:multiLevelType w:val="multilevel"/>
    <w:tmpl w:val="706C644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78955F1"/>
    <w:multiLevelType w:val="hybridMultilevel"/>
    <w:tmpl w:val="B362620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F8875E4"/>
    <w:multiLevelType w:val="hybridMultilevel"/>
    <w:tmpl w:val="E920F0FE"/>
    <w:lvl w:ilvl="0" w:tplc="7F6A86F8">
      <w:start w:val="1"/>
      <w:numFmt w:val="lowerLetter"/>
      <w:lvlText w:val="%1)"/>
      <w:lvlJc w:val="left"/>
      <w:pPr>
        <w:ind w:left="1425" w:hanging="360"/>
      </w:pPr>
      <w:rPr>
        <w:rFonts w:cs="Times New Roman" w:hint="default"/>
      </w:rPr>
    </w:lvl>
    <w:lvl w:ilvl="1" w:tplc="04050019" w:tentative="1">
      <w:start w:val="1"/>
      <w:numFmt w:val="lowerLetter"/>
      <w:lvlText w:val="%2."/>
      <w:lvlJc w:val="left"/>
      <w:pPr>
        <w:ind w:left="2145" w:hanging="360"/>
      </w:pPr>
      <w:rPr>
        <w:rFonts w:cs="Times New Roman"/>
      </w:rPr>
    </w:lvl>
    <w:lvl w:ilvl="2" w:tplc="0405001B" w:tentative="1">
      <w:start w:val="1"/>
      <w:numFmt w:val="lowerRoman"/>
      <w:lvlText w:val="%3."/>
      <w:lvlJc w:val="right"/>
      <w:pPr>
        <w:ind w:left="2865" w:hanging="180"/>
      </w:pPr>
      <w:rPr>
        <w:rFonts w:cs="Times New Roman"/>
      </w:rPr>
    </w:lvl>
    <w:lvl w:ilvl="3" w:tplc="0405000F" w:tentative="1">
      <w:start w:val="1"/>
      <w:numFmt w:val="decimal"/>
      <w:lvlText w:val="%4."/>
      <w:lvlJc w:val="left"/>
      <w:pPr>
        <w:ind w:left="3585" w:hanging="360"/>
      </w:pPr>
      <w:rPr>
        <w:rFonts w:cs="Times New Roman"/>
      </w:rPr>
    </w:lvl>
    <w:lvl w:ilvl="4" w:tplc="04050019" w:tentative="1">
      <w:start w:val="1"/>
      <w:numFmt w:val="lowerLetter"/>
      <w:lvlText w:val="%5."/>
      <w:lvlJc w:val="left"/>
      <w:pPr>
        <w:ind w:left="4305" w:hanging="360"/>
      </w:pPr>
      <w:rPr>
        <w:rFonts w:cs="Times New Roman"/>
      </w:rPr>
    </w:lvl>
    <w:lvl w:ilvl="5" w:tplc="0405001B" w:tentative="1">
      <w:start w:val="1"/>
      <w:numFmt w:val="lowerRoman"/>
      <w:lvlText w:val="%6."/>
      <w:lvlJc w:val="right"/>
      <w:pPr>
        <w:ind w:left="5025" w:hanging="180"/>
      </w:pPr>
      <w:rPr>
        <w:rFonts w:cs="Times New Roman"/>
      </w:rPr>
    </w:lvl>
    <w:lvl w:ilvl="6" w:tplc="0405000F" w:tentative="1">
      <w:start w:val="1"/>
      <w:numFmt w:val="decimal"/>
      <w:lvlText w:val="%7."/>
      <w:lvlJc w:val="left"/>
      <w:pPr>
        <w:ind w:left="5745" w:hanging="360"/>
      </w:pPr>
      <w:rPr>
        <w:rFonts w:cs="Times New Roman"/>
      </w:rPr>
    </w:lvl>
    <w:lvl w:ilvl="7" w:tplc="04050019" w:tentative="1">
      <w:start w:val="1"/>
      <w:numFmt w:val="lowerLetter"/>
      <w:lvlText w:val="%8."/>
      <w:lvlJc w:val="left"/>
      <w:pPr>
        <w:ind w:left="6465" w:hanging="360"/>
      </w:pPr>
      <w:rPr>
        <w:rFonts w:cs="Times New Roman"/>
      </w:rPr>
    </w:lvl>
    <w:lvl w:ilvl="8" w:tplc="0405001B" w:tentative="1">
      <w:start w:val="1"/>
      <w:numFmt w:val="lowerRoman"/>
      <w:lvlText w:val="%9."/>
      <w:lvlJc w:val="right"/>
      <w:pPr>
        <w:ind w:left="7185" w:hanging="180"/>
      </w:pPr>
      <w:rPr>
        <w:rFonts w:cs="Times New Roman"/>
      </w:rPr>
    </w:lvl>
  </w:abstractNum>
  <w:abstractNum w:abstractNumId="3" w15:restartNumberingAfterBreak="0">
    <w:nsid w:val="1910241F"/>
    <w:multiLevelType w:val="hybridMultilevel"/>
    <w:tmpl w:val="A094DD2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499461F"/>
    <w:multiLevelType w:val="hybridMultilevel"/>
    <w:tmpl w:val="CA5A55DE"/>
    <w:lvl w:ilvl="0" w:tplc="2586F428">
      <w:start w:val="1"/>
      <w:numFmt w:val="decimal"/>
      <w:lvlText w:val="%1."/>
      <w:lvlJc w:val="left"/>
      <w:pPr>
        <w:ind w:left="1065"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5155EC5"/>
    <w:multiLevelType w:val="hybridMultilevel"/>
    <w:tmpl w:val="CE7CE2D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26D75001"/>
    <w:multiLevelType w:val="hybridMultilevel"/>
    <w:tmpl w:val="31A84F68"/>
    <w:lvl w:ilvl="0" w:tplc="ABF45430">
      <w:start w:val="1"/>
      <w:numFmt w:val="bullet"/>
      <w:pStyle w:val="Nadpis3"/>
      <w:lvlText w:val=""/>
      <w:lvlJc w:val="left"/>
      <w:pPr>
        <w:ind w:left="1080" w:hanging="360"/>
      </w:pPr>
      <w:rPr>
        <w:rFonts w:ascii="Symbol" w:hAnsi="Symbol" w:hint="default"/>
        <w:color w:val="auto"/>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30E575DD"/>
    <w:multiLevelType w:val="hybridMultilevel"/>
    <w:tmpl w:val="A9B02FDA"/>
    <w:lvl w:ilvl="0" w:tplc="FB2A13AA">
      <w:start w:val="1"/>
      <w:numFmt w:val="lowerLetter"/>
      <w:lvlText w:val="%1)"/>
      <w:lvlJc w:val="left"/>
      <w:pPr>
        <w:ind w:left="1425" w:hanging="360"/>
      </w:pPr>
      <w:rPr>
        <w:rFonts w:cs="Times New Roman" w:hint="default"/>
      </w:rPr>
    </w:lvl>
    <w:lvl w:ilvl="1" w:tplc="04050019" w:tentative="1">
      <w:start w:val="1"/>
      <w:numFmt w:val="lowerLetter"/>
      <w:lvlText w:val="%2."/>
      <w:lvlJc w:val="left"/>
      <w:pPr>
        <w:ind w:left="2145" w:hanging="360"/>
      </w:pPr>
      <w:rPr>
        <w:rFonts w:cs="Times New Roman"/>
      </w:rPr>
    </w:lvl>
    <w:lvl w:ilvl="2" w:tplc="0405001B" w:tentative="1">
      <w:start w:val="1"/>
      <w:numFmt w:val="lowerRoman"/>
      <w:lvlText w:val="%3."/>
      <w:lvlJc w:val="right"/>
      <w:pPr>
        <w:ind w:left="2865" w:hanging="180"/>
      </w:pPr>
      <w:rPr>
        <w:rFonts w:cs="Times New Roman"/>
      </w:rPr>
    </w:lvl>
    <w:lvl w:ilvl="3" w:tplc="0405000F" w:tentative="1">
      <w:start w:val="1"/>
      <w:numFmt w:val="decimal"/>
      <w:lvlText w:val="%4."/>
      <w:lvlJc w:val="left"/>
      <w:pPr>
        <w:ind w:left="3585" w:hanging="360"/>
      </w:pPr>
      <w:rPr>
        <w:rFonts w:cs="Times New Roman"/>
      </w:rPr>
    </w:lvl>
    <w:lvl w:ilvl="4" w:tplc="04050019" w:tentative="1">
      <w:start w:val="1"/>
      <w:numFmt w:val="lowerLetter"/>
      <w:lvlText w:val="%5."/>
      <w:lvlJc w:val="left"/>
      <w:pPr>
        <w:ind w:left="4305" w:hanging="360"/>
      </w:pPr>
      <w:rPr>
        <w:rFonts w:cs="Times New Roman"/>
      </w:rPr>
    </w:lvl>
    <w:lvl w:ilvl="5" w:tplc="0405001B" w:tentative="1">
      <w:start w:val="1"/>
      <w:numFmt w:val="lowerRoman"/>
      <w:lvlText w:val="%6."/>
      <w:lvlJc w:val="right"/>
      <w:pPr>
        <w:ind w:left="5025" w:hanging="180"/>
      </w:pPr>
      <w:rPr>
        <w:rFonts w:cs="Times New Roman"/>
      </w:rPr>
    </w:lvl>
    <w:lvl w:ilvl="6" w:tplc="0405000F" w:tentative="1">
      <w:start w:val="1"/>
      <w:numFmt w:val="decimal"/>
      <w:lvlText w:val="%7."/>
      <w:lvlJc w:val="left"/>
      <w:pPr>
        <w:ind w:left="5745" w:hanging="360"/>
      </w:pPr>
      <w:rPr>
        <w:rFonts w:cs="Times New Roman"/>
      </w:rPr>
    </w:lvl>
    <w:lvl w:ilvl="7" w:tplc="04050019" w:tentative="1">
      <w:start w:val="1"/>
      <w:numFmt w:val="lowerLetter"/>
      <w:lvlText w:val="%8."/>
      <w:lvlJc w:val="left"/>
      <w:pPr>
        <w:ind w:left="6465" w:hanging="360"/>
      </w:pPr>
      <w:rPr>
        <w:rFonts w:cs="Times New Roman"/>
      </w:rPr>
    </w:lvl>
    <w:lvl w:ilvl="8" w:tplc="0405001B" w:tentative="1">
      <w:start w:val="1"/>
      <w:numFmt w:val="lowerRoman"/>
      <w:lvlText w:val="%9."/>
      <w:lvlJc w:val="right"/>
      <w:pPr>
        <w:ind w:left="7185" w:hanging="180"/>
      </w:pPr>
      <w:rPr>
        <w:rFonts w:cs="Times New Roman"/>
      </w:rPr>
    </w:lvl>
  </w:abstractNum>
  <w:abstractNum w:abstractNumId="8" w15:restartNumberingAfterBreak="0">
    <w:nsid w:val="32966709"/>
    <w:multiLevelType w:val="hybridMultilevel"/>
    <w:tmpl w:val="9F7A99E6"/>
    <w:lvl w:ilvl="0" w:tplc="0368FFCA">
      <w:start w:val="1"/>
      <w:numFmt w:val="decimal"/>
      <w:lvlText w:val="%1."/>
      <w:lvlJc w:val="left"/>
      <w:pPr>
        <w:ind w:left="1080"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9" w15:restartNumberingAfterBreak="0">
    <w:nsid w:val="36324825"/>
    <w:multiLevelType w:val="hybridMultilevel"/>
    <w:tmpl w:val="B2F28164"/>
    <w:lvl w:ilvl="0" w:tplc="0405000F">
      <w:start w:val="1"/>
      <w:numFmt w:val="decimal"/>
      <w:lvlText w:val="%1."/>
      <w:lvlJc w:val="left"/>
      <w:pPr>
        <w:ind w:left="1425" w:hanging="360"/>
      </w:pPr>
      <w:rPr>
        <w:rFonts w:cs="Times New Roman" w:hint="default"/>
      </w:rPr>
    </w:lvl>
    <w:lvl w:ilvl="1" w:tplc="04050019" w:tentative="1">
      <w:start w:val="1"/>
      <w:numFmt w:val="lowerLetter"/>
      <w:lvlText w:val="%2."/>
      <w:lvlJc w:val="left"/>
      <w:pPr>
        <w:ind w:left="2145" w:hanging="360"/>
      </w:pPr>
      <w:rPr>
        <w:rFonts w:cs="Times New Roman"/>
      </w:rPr>
    </w:lvl>
    <w:lvl w:ilvl="2" w:tplc="0405001B" w:tentative="1">
      <w:start w:val="1"/>
      <w:numFmt w:val="lowerRoman"/>
      <w:lvlText w:val="%3."/>
      <w:lvlJc w:val="right"/>
      <w:pPr>
        <w:ind w:left="2865" w:hanging="180"/>
      </w:pPr>
      <w:rPr>
        <w:rFonts w:cs="Times New Roman"/>
      </w:rPr>
    </w:lvl>
    <w:lvl w:ilvl="3" w:tplc="0405000F" w:tentative="1">
      <w:start w:val="1"/>
      <w:numFmt w:val="decimal"/>
      <w:lvlText w:val="%4."/>
      <w:lvlJc w:val="left"/>
      <w:pPr>
        <w:ind w:left="3585" w:hanging="360"/>
      </w:pPr>
      <w:rPr>
        <w:rFonts w:cs="Times New Roman"/>
      </w:rPr>
    </w:lvl>
    <w:lvl w:ilvl="4" w:tplc="04050019" w:tentative="1">
      <w:start w:val="1"/>
      <w:numFmt w:val="lowerLetter"/>
      <w:lvlText w:val="%5."/>
      <w:lvlJc w:val="left"/>
      <w:pPr>
        <w:ind w:left="4305" w:hanging="360"/>
      </w:pPr>
      <w:rPr>
        <w:rFonts w:cs="Times New Roman"/>
      </w:rPr>
    </w:lvl>
    <w:lvl w:ilvl="5" w:tplc="0405001B" w:tentative="1">
      <w:start w:val="1"/>
      <w:numFmt w:val="lowerRoman"/>
      <w:lvlText w:val="%6."/>
      <w:lvlJc w:val="right"/>
      <w:pPr>
        <w:ind w:left="5025" w:hanging="180"/>
      </w:pPr>
      <w:rPr>
        <w:rFonts w:cs="Times New Roman"/>
      </w:rPr>
    </w:lvl>
    <w:lvl w:ilvl="6" w:tplc="0405000F" w:tentative="1">
      <w:start w:val="1"/>
      <w:numFmt w:val="decimal"/>
      <w:lvlText w:val="%7."/>
      <w:lvlJc w:val="left"/>
      <w:pPr>
        <w:ind w:left="5745" w:hanging="360"/>
      </w:pPr>
      <w:rPr>
        <w:rFonts w:cs="Times New Roman"/>
      </w:rPr>
    </w:lvl>
    <w:lvl w:ilvl="7" w:tplc="04050019" w:tentative="1">
      <w:start w:val="1"/>
      <w:numFmt w:val="lowerLetter"/>
      <w:lvlText w:val="%8."/>
      <w:lvlJc w:val="left"/>
      <w:pPr>
        <w:ind w:left="6465" w:hanging="360"/>
      </w:pPr>
      <w:rPr>
        <w:rFonts w:cs="Times New Roman"/>
      </w:rPr>
    </w:lvl>
    <w:lvl w:ilvl="8" w:tplc="0405001B" w:tentative="1">
      <w:start w:val="1"/>
      <w:numFmt w:val="lowerRoman"/>
      <w:lvlText w:val="%9."/>
      <w:lvlJc w:val="right"/>
      <w:pPr>
        <w:ind w:left="7185" w:hanging="180"/>
      </w:pPr>
      <w:rPr>
        <w:rFonts w:cs="Times New Roman"/>
      </w:rPr>
    </w:lvl>
  </w:abstractNum>
  <w:abstractNum w:abstractNumId="10" w15:restartNumberingAfterBreak="0">
    <w:nsid w:val="387765B9"/>
    <w:multiLevelType w:val="hybridMultilevel"/>
    <w:tmpl w:val="C7766BC6"/>
    <w:lvl w:ilvl="0" w:tplc="BFBADF22">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1" w15:restartNumberingAfterBreak="0">
    <w:nsid w:val="39453B72"/>
    <w:multiLevelType w:val="hybridMultilevel"/>
    <w:tmpl w:val="8FFE8D1C"/>
    <w:lvl w:ilvl="0" w:tplc="E6084452">
      <w:start w:val="1"/>
      <w:numFmt w:val="lowerLetter"/>
      <w:lvlText w:val="%1)"/>
      <w:lvlJc w:val="left"/>
      <w:pPr>
        <w:ind w:left="1425" w:hanging="360"/>
      </w:pPr>
      <w:rPr>
        <w:rFonts w:cs="Times New Roman" w:hint="default"/>
      </w:rPr>
    </w:lvl>
    <w:lvl w:ilvl="1" w:tplc="04050019" w:tentative="1">
      <w:start w:val="1"/>
      <w:numFmt w:val="lowerLetter"/>
      <w:lvlText w:val="%2."/>
      <w:lvlJc w:val="left"/>
      <w:pPr>
        <w:ind w:left="2145" w:hanging="360"/>
      </w:pPr>
      <w:rPr>
        <w:rFonts w:cs="Times New Roman"/>
      </w:rPr>
    </w:lvl>
    <w:lvl w:ilvl="2" w:tplc="0405001B" w:tentative="1">
      <w:start w:val="1"/>
      <w:numFmt w:val="lowerRoman"/>
      <w:lvlText w:val="%3."/>
      <w:lvlJc w:val="right"/>
      <w:pPr>
        <w:ind w:left="2865" w:hanging="180"/>
      </w:pPr>
      <w:rPr>
        <w:rFonts w:cs="Times New Roman"/>
      </w:rPr>
    </w:lvl>
    <w:lvl w:ilvl="3" w:tplc="0405000F" w:tentative="1">
      <w:start w:val="1"/>
      <w:numFmt w:val="decimal"/>
      <w:lvlText w:val="%4."/>
      <w:lvlJc w:val="left"/>
      <w:pPr>
        <w:ind w:left="3585" w:hanging="360"/>
      </w:pPr>
      <w:rPr>
        <w:rFonts w:cs="Times New Roman"/>
      </w:rPr>
    </w:lvl>
    <w:lvl w:ilvl="4" w:tplc="04050019" w:tentative="1">
      <w:start w:val="1"/>
      <w:numFmt w:val="lowerLetter"/>
      <w:lvlText w:val="%5."/>
      <w:lvlJc w:val="left"/>
      <w:pPr>
        <w:ind w:left="4305" w:hanging="360"/>
      </w:pPr>
      <w:rPr>
        <w:rFonts w:cs="Times New Roman"/>
      </w:rPr>
    </w:lvl>
    <w:lvl w:ilvl="5" w:tplc="0405001B" w:tentative="1">
      <w:start w:val="1"/>
      <w:numFmt w:val="lowerRoman"/>
      <w:lvlText w:val="%6."/>
      <w:lvlJc w:val="right"/>
      <w:pPr>
        <w:ind w:left="5025" w:hanging="180"/>
      </w:pPr>
      <w:rPr>
        <w:rFonts w:cs="Times New Roman"/>
      </w:rPr>
    </w:lvl>
    <w:lvl w:ilvl="6" w:tplc="0405000F" w:tentative="1">
      <w:start w:val="1"/>
      <w:numFmt w:val="decimal"/>
      <w:lvlText w:val="%7."/>
      <w:lvlJc w:val="left"/>
      <w:pPr>
        <w:ind w:left="5745" w:hanging="360"/>
      </w:pPr>
      <w:rPr>
        <w:rFonts w:cs="Times New Roman"/>
      </w:rPr>
    </w:lvl>
    <w:lvl w:ilvl="7" w:tplc="04050019" w:tentative="1">
      <w:start w:val="1"/>
      <w:numFmt w:val="lowerLetter"/>
      <w:lvlText w:val="%8."/>
      <w:lvlJc w:val="left"/>
      <w:pPr>
        <w:ind w:left="6465" w:hanging="360"/>
      </w:pPr>
      <w:rPr>
        <w:rFonts w:cs="Times New Roman"/>
      </w:rPr>
    </w:lvl>
    <w:lvl w:ilvl="8" w:tplc="0405001B" w:tentative="1">
      <w:start w:val="1"/>
      <w:numFmt w:val="lowerRoman"/>
      <w:lvlText w:val="%9."/>
      <w:lvlJc w:val="right"/>
      <w:pPr>
        <w:ind w:left="7185" w:hanging="180"/>
      </w:pPr>
      <w:rPr>
        <w:rFonts w:cs="Times New Roman"/>
      </w:rPr>
    </w:lvl>
  </w:abstractNum>
  <w:abstractNum w:abstractNumId="12" w15:restartNumberingAfterBreak="0">
    <w:nsid w:val="395C36C2"/>
    <w:multiLevelType w:val="hybridMultilevel"/>
    <w:tmpl w:val="48763182"/>
    <w:lvl w:ilvl="0" w:tplc="7F6A86F8">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3" w15:restartNumberingAfterBreak="0">
    <w:nsid w:val="3D797E50"/>
    <w:multiLevelType w:val="hybridMultilevel"/>
    <w:tmpl w:val="B81C7B14"/>
    <w:lvl w:ilvl="0" w:tplc="A73C5A7C">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4" w15:restartNumberingAfterBreak="0">
    <w:nsid w:val="40617B54"/>
    <w:multiLevelType w:val="hybridMultilevel"/>
    <w:tmpl w:val="00B474C2"/>
    <w:lvl w:ilvl="0" w:tplc="7CAA0EDA">
      <w:start w:val="1"/>
      <w:numFmt w:val="lowerLetter"/>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5" w15:restartNumberingAfterBreak="0">
    <w:nsid w:val="43B83816"/>
    <w:multiLevelType w:val="hybridMultilevel"/>
    <w:tmpl w:val="770A59BE"/>
    <w:lvl w:ilvl="0" w:tplc="18C49F2A">
      <w:start w:val="1"/>
      <w:numFmt w:val="lowerLetter"/>
      <w:lvlText w:val="%1)"/>
      <w:lvlJc w:val="left"/>
      <w:pPr>
        <w:ind w:left="1425" w:hanging="360"/>
      </w:pPr>
      <w:rPr>
        <w:rFonts w:cs="Times New Roman" w:hint="default"/>
      </w:rPr>
    </w:lvl>
    <w:lvl w:ilvl="1" w:tplc="04050019" w:tentative="1">
      <w:start w:val="1"/>
      <w:numFmt w:val="lowerLetter"/>
      <w:lvlText w:val="%2."/>
      <w:lvlJc w:val="left"/>
      <w:pPr>
        <w:ind w:left="2145" w:hanging="360"/>
      </w:pPr>
      <w:rPr>
        <w:rFonts w:cs="Times New Roman"/>
      </w:rPr>
    </w:lvl>
    <w:lvl w:ilvl="2" w:tplc="0405001B" w:tentative="1">
      <w:start w:val="1"/>
      <w:numFmt w:val="lowerRoman"/>
      <w:lvlText w:val="%3."/>
      <w:lvlJc w:val="right"/>
      <w:pPr>
        <w:ind w:left="2865" w:hanging="180"/>
      </w:pPr>
      <w:rPr>
        <w:rFonts w:cs="Times New Roman"/>
      </w:rPr>
    </w:lvl>
    <w:lvl w:ilvl="3" w:tplc="0405000F" w:tentative="1">
      <w:start w:val="1"/>
      <w:numFmt w:val="decimal"/>
      <w:lvlText w:val="%4."/>
      <w:lvlJc w:val="left"/>
      <w:pPr>
        <w:ind w:left="3585" w:hanging="360"/>
      </w:pPr>
      <w:rPr>
        <w:rFonts w:cs="Times New Roman"/>
      </w:rPr>
    </w:lvl>
    <w:lvl w:ilvl="4" w:tplc="04050019" w:tentative="1">
      <w:start w:val="1"/>
      <w:numFmt w:val="lowerLetter"/>
      <w:lvlText w:val="%5."/>
      <w:lvlJc w:val="left"/>
      <w:pPr>
        <w:ind w:left="4305" w:hanging="360"/>
      </w:pPr>
      <w:rPr>
        <w:rFonts w:cs="Times New Roman"/>
      </w:rPr>
    </w:lvl>
    <w:lvl w:ilvl="5" w:tplc="0405001B" w:tentative="1">
      <w:start w:val="1"/>
      <w:numFmt w:val="lowerRoman"/>
      <w:lvlText w:val="%6."/>
      <w:lvlJc w:val="right"/>
      <w:pPr>
        <w:ind w:left="5025" w:hanging="180"/>
      </w:pPr>
      <w:rPr>
        <w:rFonts w:cs="Times New Roman"/>
      </w:rPr>
    </w:lvl>
    <w:lvl w:ilvl="6" w:tplc="0405000F" w:tentative="1">
      <w:start w:val="1"/>
      <w:numFmt w:val="decimal"/>
      <w:lvlText w:val="%7."/>
      <w:lvlJc w:val="left"/>
      <w:pPr>
        <w:ind w:left="5745" w:hanging="360"/>
      </w:pPr>
      <w:rPr>
        <w:rFonts w:cs="Times New Roman"/>
      </w:rPr>
    </w:lvl>
    <w:lvl w:ilvl="7" w:tplc="04050019" w:tentative="1">
      <w:start w:val="1"/>
      <w:numFmt w:val="lowerLetter"/>
      <w:lvlText w:val="%8."/>
      <w:lvlJc w:val="left"/>
      <w:pPr>
        <w:ind w:left="6465" w:hanging="360"/>
      </w:pPr>
      <w:rPr>
        <w:rFonts w:cs="Times New Roman"/>
      </w:rPr>
    </w:lvl>
    <w:lvl w:ilvl="8" w:tplc="0405001B" w:tentative="1">
      <w:start w:val="1"/>
      <w:numFmt w:val="lowerRoman"/>
      <w:lvlText w:val="%9."/>
      <w:lvlJc w:val="right"/>
      <w:pPr>
        <w:ind w:left="7185" w:hanging="180"/>
      </w:pPr>
      <w:rPr>
        <w:rFonts w:cs="Times New Roman"/>
      </w:rPr>
    </w:lvl>
  </w:abstractNum>
  <w:abstractNum w:abstractNumId="16" w15:restartNumberingAfterBreak="0">
    <w:nsid w:val="450E6306"/>
    <w:multiLevelType w:val="hybridMultilevel"/>
    <w:tmpl w:val="A5F42A3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EA72A04"/>
    <w:multiLevelType w:val="hybridMultilevel"/>
    <w:tmpl w:val="E2D0CEBE"/>
    <w:lvl w:ilvl="0" w:tplc="24D2D152">
      <w:start w:val="1"/>
      <w:numFmt w:val="decimal"/>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8" w15:restartNumberingAfterBreak="0">
    <w:nsid w:val="51265B4D"/>
    <w:multiLevelType w:val="hybridMultilevel"/>
    <w:tmpl w:val="E33E870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5C9B5F02"/>
    <w:multiLevelType w:val="hybridMultilevel"/>
    <w:tmpl w:val="679668EC"/>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645310C3"/>
    <w:multiLevelType w:val="hybridMultilevel"/>
    <w:tmpl w:val="0FA483A0"/>
    <w:lvl w:ilvl="0" w:tplc="4572AF7E">
      <w:start w:val="1"/>
      <w:numFmt w:val="decimal"/>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1" w15:restartNumberingAfterBreak="0">
    <w:nsid w:val="6EEA4E97"/>
    <w:multiLevelType w:val="hybridMultilevel"/>
    <w:tmpl w:val="82B49F22"/>
    <w:lvl w:ilvl="0" w:tplc="F1420664">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2" w15:restartNumberingAfterBreak="0">
    <w:nsid w:val="6F752B3A"/>
    <w:multiLevelType w:val="multilevel"/>
    <w:tmpl w:val="A552C760"/>
    <w:lvl w:ilvl="0">
      <w:start w:val="1"/>
      <w:numFmt w:val="decimal"/>
      <w:lvlText w:val="%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23" w15:restartNumberingAfterBreak="0">
    <w:nsid w:val="77647D22"/>
    <w:multiLevelType w:val="hybridMultilevel"/>
    <w:tmpl w:val="B678A4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7F076BC"/>
    <w:multiLevelType w:val="multilevel"/>
    <w:tmpl w:val="ED7C4236"/>
    <w:lvl w:ilvl="0">
      <w:start w:val="1"/>
      <w:numFmt w:val="upperRoman"/>
      <w:pStyle w:val="Nadpis1"/>
      <w:lvlText w:val="%1."/>
      <w:lvlJc w:val="righ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5" w15:restartNumberingAfterBreak="0">
    <w:nsid w:val="7E392CC8"/>
    <w:multiLevelType w:val="hybridMultilevel"/>
    <w:tmpl w:val="6A605EC0"/>
    <w:lvl w:ilvl="0" w:tplc="7F6A86F8">
      <w:start w:val="1"/>
      <w:numFmt w:val="lowerLetter"/>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num w:numId="1" w16cid:durableId="2125614470">
    <w:abstractNumId w:val="16"/>
  </w:num>
  <w:num w:numId="2" w16cid:durableId="746347010">
    <w:abstractNumId w:val="13"/>
  </w:num>
  <w:num w:numId="3" w16cid:durableId="915553092">
    <w:abstractNumId w:val="12"/>
  </w:num>
  <w:num w:numId="4" w16cid:durableId="99685373">
    <w:abstractNumId w:val="21"/>
  </w:num>
  <w:num w:numId="5" w16cid:durableId="973367193">
    <w:abstractNumId w:val="10"/>
  </w:num>
  <w:num w:numId="6" w16cid:durableId="1027606450">
    <w:abstractNumId w:val="8"/>
  </w:num>
  <w:num w:numId="7" w16cid:durableId="456488000">
    <w:abstractNumId w:val="15"/>
  </w:num>
  <w:num w:numId="8" w16cid:durableId="1695183046">
    <w:abstractNumId w:val="7"/>
  </w:num>
  <w:num w:numId="9" w16cid:durableId="6908847">
    <w:abstractNumId w:val="20"/>
  </w:num>
  <w:num w:numId="10" w16cid:durableId="945231915">
    <w:abstractNumId w:val="11"/>
  </w:num>
  <w:num w:numId="11" w16cid:durableId="599338296">
    <w:abstractNumId w:val="17"/>
  </w:num>
  <w:num w:numId="12" w16cid:durableId="1608924341">
    <w:abstractNumId w:val="9"/>
  </w:num>
  <w:num w:numId="13" w16cid:durableId="1119446824">
    <w:abstractNumId w:val="14"/>
  </w:num>
  <w:num w:numId="14" w16cid:durableId="175047440">
    <w:abstractNumId w:val="1"/>
  </w:num>
  <w:num w:numId="15" w16cid:durableId="1477062124">
    <w:abstractNumId w:val="19"/>
  </w:num>
  <w:num w:numId="16" w16cid:durableId="115871858">
    <w:abstractNumId w:val="4"/>
  </w:num>
  <w:num w:numId="17" w16cid:durableId="1473326876">
    <w:abstractNumId w:val="25"/>
  </w:num>
  <w:num w:numId="18" w16cid:durableId="133766596">
    <w:abstractNumId w:val="3"/>
  </w:num>
  <w:num w:numId="19" w16cid:durableId="1495685191">
    <w:abstractNumId w:val="2"/>
  </w:num>
  <w:num w:numId="20" w16cid:durableId="1541014382">
    <w:abstractNumId w:val="0"/>
  </w:num>
  <w:num w:numId="21" w16cid:durableId="757287568">
    <w:abstractNumId w:val="22"/>
  </w:num>
  <w:num w:numId="22" w16cid:durableId="1320964746">
    <w:abstractNumId w:val="6"/>
  </w:num>
  <w:num w:numId="23" w16cid:durableId="2135244750">
    <w:abstractNumId w:val="24"/>
  </w:num>
  <w:num w:numId="24" w16cid:durableId="124088591">
    <w:abstractNumId w:val="18"/>
  </w:num>
  <w:num w:numId="25" w16cid:durableId="905532188">
    <w:abstractNumId w:val="5"/>
  </w:num>
  <w:num w:numId="26" w16cid:durableId="40249110">
    <w:abstractNumId w:val="6"/>
  </w:num>
  <w:num w:numId="27" w16cid:durableId="509681505">
    <w:abstractNumId w:val="23"/>
  </w:num>
  <w:num w:numId="28" w16cid:durableId="21306571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9E6"/>
    <w:rsid w:val="00002FD9"/>
    <w:rsid w:val="000052E1"/>
    <w:rsid w:val="00007A2C"/>
    <w:rsid w:val="0001577C"/>
    <w:rsid w:val="00035992"/>
    <w:rsid w:val="000527C8"/>
    <w:rsid w:val="00062667"/>
    <w:rsid w:val="000731EF"/>
    <w:rsid w:val="0007448D"/>
    <w:rsid w:val="000855AE"/>
    <w:rsid w:val="000A6CEE"/>
    <w:rsid w:val="000B3D78"/>
    <w:rsid w:val="000C510B"/>
    <w:rsid w:val="000C649E"/>
    <w:rsid w:val="000F6D6F"/>
    <w:rsid w:val="001245AE"/>
    <w:rsid w:val="001433ED"/>
    <w:rsid w:val="00155275"/>
    <w:rsid w:val="0017359B"/>
    <w:rsid w:val="00175912"/>
    <w:rsid w:val="0019279B"/>
    <w:rsid w:val="0019620C"/>
    <w:rsid w:val="001A34E6"/>
    <w:rsid w:val="001B5FFA"/>
    <w:rsid w:val="001C0573"/>
    <w:rsid w:val="001C342F"/>
    <w:rsid w:val="001D00DD"/>
    <w:rsid w:val="001F29CB"/>
    <w:rsid w:val="001F4FF7"/>
    <w:rsid w:val="00201155"/>
    <w:rsid w:val="00210F43"/>
    <w:rsid w:val="00213ECA"/>
    <w:rsid w:val="00226E75"/>
    <w:rsid w:val="002407C3"/>
    <w:rsid w:val="00263DD3"/>
    <w:rsid w:val="002768E3"/>
    <w:rsid w:val="002A4274"/>
    <w:rsid w:val="002D135C"/>
    <w:rsid w:val="002F1D94"/>
    <w:rsid w:val="002F7B07"/>
    <w:rsid w:val="00305CD1"/>
    <w:rsid w:val="00320E00"/>
    <w:rsid w:val="0032110E"/>
    <w:rsid w:val="00333256"/>
    <w:rsid w:val="00334875"/>
    <w:rsid w:val="00341363"/>
    <w:rsid w:val="00367EEE"/>
    <w:rsid w:val="00373341"/>
    <w:rsid w:val="00392216"/>
    <w:rsid w:val="00396360"/>
    <w:rsid w:val="003A373E"/>
    <w:rsid w:val="003B6392"/>
    <w:rsid w:val="003B6469"/>
    <w:rsid w:val="003D3986"/>
    <w:rsid w:val="003D69BF"/>
    <w:rsid w:val="003E31E0"/>
    <w:rsid w:val="003E42F9"/>
    <w:rsid w:val="003F21E3"/>
    <w:rsid w:val="003F3638"/>
    <w:rsid w:val="00405466"/>
    <w:rsid w:val="0042723A"/>
    <w:rsid w:val="00434076"/>
    <w:rsid w:val="00463374"/>
    <w:rsid w:val="004636A1"/>
    <w:rsid w:val="00471CBE"/>
    <w:rsid w:val="004866D3"/>
    <w:rsid w:val="00487E0A"/>
    <w:rsid w:val="00493DAD"/>
    <w:rsid w:val="004C4FC0"/>
    <w:rsid w:val="004D03B6"/>
    <w:rsid w:val="004D3F0F"/>
    <w:rsid w:val="004E4C3F"/>
    <w:rsid w:val="004E4F30"/>
    <w:rsid w:val="004F1106"/>
    <w:rsid w:val="004F3AD7"/>
    <w:rsid w:val="005140B8"/>
    <w:rsid w:val="0051447F"/>
    <w:rsid w:val="0052158F"/>
    <w:rsid w:val="00533AF1"/>
    <w:rsid w:val="0053658B"/>
    <w:rsid w:val="0054435B"/>
    <w:rsid w:val="00544CBB"/>
    <w:rsid w:val="00561085"/>
    <w:rsid w:val="0056352C"/>
    <w:rsid w:val="00585CD1"/>
    <w:rsid w:val="005A69DA"/>
    <w:rsid w:val="005B3EFA"/>
    <w:rsid w:val="005B62AB"/>
    <w:rsid w:val="005C1A8B"/>
    <w:rsid w:val="005C4C80"/>
    <w:rsid w:val="005C7F78"/>
    <w:rsid w:val="00647634"/>
    <w:rsid w:val="00650764"/>
    <w:rsid w:val="00651712"/>
    <w:rsid w:val="00657246"/>
    <w:rsid w:val="006675DD"/>
    <w:rsid w:val="006838BE"/>
    <w:rsid w:val="00683FCD"/>
    <w:rsid w:val="006852C2"/>
    <w:rsid w:val="00687AF0"/>
    <w:rsid w:val="00691708"/>
    <w:rsid w:val="006973A2"/>
    <w:rsid w:val="006A3AB3"/>
    <w:rsid w:val="006D15BC"/>
    <w:rsid w:val="006E0E49"/>
    <w:rsid w:val="006E6A62"/>
    <w:rsid w:val="006F4E5E"/>
    <w:rsid w:val="006F7B4D"/>
    <w:rsid w:val="007041D6"/>
    <w:rsid w:val="0071736D"/>
    <w:rsid w:val="00731662"/>
    <w:rsid w:val="00735312"/>
    <w:rsid w:val="00745E75"/>
    <w:rsid w:val="00761C80"/>
    <w:rsid w:val="007673BA"/>
    <w:rsid w:val="007702D1"/>
    <w:rsid w:val="00771A9A"/>
    <w:rsid w:val="00775A23"/>
    <w:rsid w:val="007B7D0E"/>
    <w:rsid w:val="007F3B05"/>
    <w:rsid w:val="00801E4E"/>
    <w:rsid w:val="00830B9E"/>
    <w:rsid w:val="00831DBF"/>
    <w:rsid w:val="00841F74"/>
    <w:rsid w:val="00845913"/>
    <w:rsid w:val="00847530"/>
    <w:rsid w:val="008624B2"/>
    <w:rsid w:val="00875A79"/>
    <w:rsid w:val="00880D45"/>
    <w:rsid w:val="008848E6"/>
    <w:rsid w:val="008E4944"/>
    <w:rsid w:val="00913B72"/>
    <w:rsid w:val="00914C60"/>
    <w:rsid w:val="00914DEC"/>
    <w:rsid w:val="00932750"/>
    <w:rsid w:val="00936C2B"/>
    <w:rsid w:val="00951117"/>
    <w:rsid w:val="00951E0B"/>
    <w:rsid w:val="009537CF"/>
    <w:rsid w:val="00975D7D"/>
    <w:rsid w:val="009848FA"/>
    <w:rsid w:val="009C728F"/>
    <w:rsid w:val="009D7F29"/>
    <w:rsid w:val="009E517D"/>
    <w:rsid w:val="009F3D68"/>
    <w:rsid w:val="00A06ECC"/>
    <w:rsid w:val="00A16EA6"/>
    <w:rsid w:val="00A56FC3"/>
    <w:rsid w:val="00A719FF"/>
    <w:rsid w:val="00A90AA4"/>
    <w:rsid w:val="00AA58C9"/>
    <w:rsid w:val="00AB25E8"/>
    <w:rsid w:val="00AB2D73"/>
    <w:rsid w:val="00AB3E00"/>
    <w:rsid w:val="00AC2799"/>
    <w:rsid w:val="00AC51A6"/>
    <w:rsid w:val="00AE72A3"/>
    <w:rsid w:val="00AF1F46"/>
    <w:rsid w:val="00B0230F"/>
    <w:rsid w:val="00B24CFA"/>
    <w:rsid w:val="00B25E8D"/>
    <w:rsid w:val="00B379C9"/>
    <w:rsid w:val="00B41573"/>
    <w:rsid w:val="00B41F3A"/>
    <w:rsid w:val="00B67395"/>
    <w:rsid w:val="00B957D6"/>
    <w:rsid w:val="00BA4FF0"/>
    <w:rsid w:val="00BD69F1"/>
    <w:rsid w:val="00BE0784"/>
    <w:rsid w:val="00BE1071"/>
    <w:rsid w:val="00BF39C3"/>
    <w:rsid w:val="00BF67DE"/>
    <w:rsid w:val="00BF71D1"/>
    <w:rsid w:val="00C14B03"/>
    <w:rsid w:val="00C21A3D"/>
    <w:rsid w:val="00C22BD4"/>
    <w:rsid w:val="00C24C51"/>
    <w:rsid w:val="00C355A6"/>
    <w:rsid w:val="00C80B17"/>
    <w:rsid w:val="00C905C1"/>
    <w:rsid w:val="00C941C9"/>
    <w:rsid w:val="00CA7B05"/>
    <w:rsid w:val="00CC1D93"/>
    <w:rsid w:val="00CC34DE"/>
    <w:rsid w:val="00CD663C"/>
    <w:rsid w:val="00CD6E16"/>
    <w:rsid w:val="00CE42CF"/>
    <w:rsid w:val="00D04C5F"/>
    <w:rsid w:val="00D26315"/>
    <w:rsid w:val="00D4283B"/>
    <w:rsid w:val="00D56A76"/>
    <w:rsid w:val="00D575B1"/>
    <w:rsid w:val="00D6484D"/>
    <w:rsid w:val="00D669D5"/>
    <w:rsid w:val="00D67F59"/>
    <w:rsid w:val="00DA309F"/>
    <w:rsid w:val="00DA6089"/>
    <w:rsid w:val="00DA661E"/>
    <w:rsid w:val="00DD47C5"/>
    <w:rsid w:val="00DD6633"/>
    <w:rsid w:val="00DF020B"/>
    <w:rsid w:val="00DF5B91"/>
    <w:rsid w:val="00E07921"/>
    <w:rsid w:val="00E13F7B"/>
    <w:rsid w:val="00E15EBC"/>
    <w:rsid w:val="00E47967"/>
    <w:rsid w:val="00E50AF0"/>
    <w:rsid w:val="00E513C3"/>
    <w:rsid w:val="00E667E4"/>
    <w:rsid w:val="00E7215E"/>
    <w:rsid w:val="00E73068"/>
    <w:rsid w:val="00E760D1"/>
    <w:rsid w:val="00E80AA4"/>
    <w:rsid w:val="00EB4BD7"/>
    <w:rsid w:val="00ED2A7F"/>
    <w:rsid w:val="00EE0231"/>
    <w:rsid w:val="00EF19B1"/>
    <w:rsid w:val="00F00017"/>
    <w:rsid w:val="00F25AAC"/>
    <w:rsid w:val="00F319E6"/>
    <w:rsid w:val="00F356C7"/>
    <w:rsid w:val="00F41192"/>
    <w:rsid w:val="00F44C18"/>
    <w:rsid w:val="00F5513D"/>
    <w:rsid w:val="00F56577"/>
    <w:rsid w:val="00F62E9F"/>
    <w:rsid w:val="00FA16FE"/>
    <w:rsid w:val="00FA2A65"/>
    <w:rsid w:val="00FC7751"/>
    <w:rsid w:val="00FD0189"/>
    <w:rsid w:val="00FD55FA"/>
    <w:rsid w:val="00FF2E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F13445"/>
  <w15:docId w15:val="{5EDC0AA1-75C6-48DF-B496-C5A8B5D24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379C9"/>
    <w:pPr>
      <w:spacing w:after="160" w:line="259" w:lineRule="auto"/>
    </w:pPr>
    <w:rPr>
      <w:sz w:val="22"/>
      <w:szCs w:val="22"/>
      <w:lang w:eastAsia="en-US"/>
    </w:rPr>
  </w:style>
  <w:style w:type="paragraph" w:styleId="Nadpis1">
    <w:name w:val="heading 1"/>
    <w:basedOn w:val="Normln"/>
    <w:next w:val="Normln"/>
    <w:link w:val="Nadpis1Char"/>
    <w:uiPriority w:val="99"/>
    <w:qFormat/>
    <w:rsid w:val="008624B2"/>
    <w:pPr>
      <w:keepNext/>
      <w:keepLines/>
      <w:numPr>
        <w:numId w:val="23"/>
      </w:numPr>
      <w:spacing w:before="240" w:after="0"/>
      <w:outlineLvl w:val="0"/>
    </w:pPr>
    <w:rPr>
      <w:rFonts w:ascii="Calibri Light" w:eastAsia="Times New Roman" w:hAnsi="Calibri Light" w:cs="Times New Roman"/>
      <w:color w:val="5B9BD5"/>
      <w:sz w:val="32"/>
      <w:szCs w:val="32"/>
    </w:rPr>
  </w:style>
  <w:style w:type="paragraph" w:styleId="Nadpis2">
    <w:name w:val="heading 2"/>
    <w:basedOn w:val="Normln"/>
    <w:next w:val="Normln"/>
    <w:link w:val="Nadpis2Char"/>
    <w:uiPriority w:val="99"/>
    <w:qFormat/>
    <w:rsid w:val="00035992"/>
    <w:pPr>
      <w:keepNext/>
      <w:keepLines/>
      <w:spacing w:before="40" w:after="0"/>
      <w:ind w:left="360"/>
      <w:outlineLvl w:val="1"/>
    </w:pPr>
    <w:rPr>
      <w:rFonts w:ascii="Calibri Light" w:eastAsia="Times New Roman" w:hAnsi="Calibri Light" w:cs="Times New Roman"/>
      <w:color w:val="5B9BD5"/>
      <w:sz w:val="26"/>
      <w:szCs w:val="26"/>
    </w:rPr>
  </w:style>
  <w:style w:type="paragraph" w:styleId="Nadpis3">
    <w:name w:val="heading 3"/>
    <w:basedOn w:val="Normln"/>
    <w:next w:val="Normln"/>
    <w:link w:val="Nadpis3Char"/>
    <w:uiPriority w:val="99"/>
    <w:qFormat/>
    <w:rsid w:val="00155275"/>
    <w:pPr>
      <w:keepNext/>
      <w:keepLines/>
      <w:numPr>
        <w:numId w:val="22"/>
      </w:numPr>
      <w:spacing w:before="40" w:after="0"/>
      <w:outlineLvl w:val="2"/>
    </w:pPr>
    <w:rPr>
      <w:rFonts w:ascii="Calibri Light" w:eastAsia="Times New Roman" w:hAnsi="Calibri Light"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24B2"/>
    <w:rPr>
      <w:rFonts w:ascii="Calibri Light" w:hAnsi="Calibri Light" w:cs="Times New Roman"/>
      <w:color w:val="5B9BD5"/>
      <w:sz w:val="32"/>
      <w:szCs w:val="32"/>
    </w:rPr>
  </w:style>
  <w:style w:type="character" w:customStyle="1" w:styleId="Nadpis2Char">
    <w:name w:val="Nadpis 2 Char"/>
    <w:link w:val="Nadpis2"/>
    <w:uiPriority w:val="99"/>
    <w:locked/>
    <w:rsid w:val="00035992"/>
    <w:rPr>
      <w:rFonts w:ascii="Calibri Light" w:hAnsi="Calibri Light" w:cs="Times New Roman"/>
      <w:color w:val="5B9BD5"/>
      <w:sz w:val="26"/>
      <w:szCs w:val="26"/>
    </w:rPr>
  </w:style>
  <w:style w:type="character" w:customStyle="1" w:styleId="Nadpis3Char">
    <w:name w:val="Nadpis 3 Char"/>
    <w:link w:val="Nadpis3"/>
    <w:uiPriority w:val="99"/>
    <w:locked/>
    <w:rsid w:val="00155275"/>
    <w:rPr>
      <w:rFonts w:ascii="Calibri Light" w:hAnsi="Calibri Light" w:cs="Times New Roman"/>
      <w:sz w:val="24"/>
      <w:szCs w:val="24"/>
    </w:rPr>
  </w:style>
  <w:style w:type="paragraph" w:styleId="Textbubliny">
    <w:name w:val="Balloon Text"/>
    <w:basedOn w:val="Normln"/>
    <w:link w:val="TextbublinyChar"/>
    <w:uiPriority w:val="99"/>
    <w:semiHidden/>
    <w:rsid w:val="00035992"/>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35992"/>
    <w:rPr>
      <w:rFonts w:ascii="Segoe UI" w:hAnsi="Segoe UI" w:cs="Segoe UI"/>
      <w:sz w:val="18"/>
      <w:szCs w:val="18"/>
    </w:rPr>
  </w:style>
  <w:style w:type="paragraph" w:styleId="Odstavecseseznamem">
    <w:name w:val="List Paragraph"/>
    <w:basedOn w:val="Normln"/>
    <w:uiPriority w:val="99"/>
    <w:qFormat/>
    <w:rsid w:val="00F319E6"/>
    <w:pPr>
      <w:ind w:left="720"/>
      <w:contextualSpacing/>
    </w:pPr>
  </w:style>
  <w:style w:type="paragraph" w:styleId="Zhlav">
    <w:name w:val="header"/>
    <w:basedOn w:val="Normln"/>
    <w:link w:val="ZhlavChar"/>
    <w:uiPriority w:val="99"/>
    <w:rsid w:val="00561085"/>
    <w:pPr>
      <w:tabs>
        <w:tab w:val="center" w:pos="4536"/>
        <w:tab w:val="right" w:pos="9072"/>
      </w:tabs>
      <w:spacing w:after="0" w:line="240" w:lineRule="auto"/>
    </w:pPr>
  </w:style>
  <w:style w:type="character" w:customStyle="1" w:styleId="ZhlavChar">
    <w:name w:val="Záhlaví Char"/>
    <w:link w:val="Zhlav"/>
    <w:uiPriority w:val="99"/>
    <w:locked/>
    <w:rsid w:val="00561085"/>
    <w:rPr>
      <w:rFonts w:cs="Times New Roman"/>
    </w:rPr>
  </w:style>
  <w:style w:type="paragraph" w:styleId="Zpat">
    <w:name w:val="footer"/>
    <w:basedOn w:val="Normln"/>
    <w:link w:val="ZpatChar"/>
    <w:uiPriority w:val="99"/>
    <w:rsid w:val="00561085"/>
    <w:pPr>
      <w:tabs>
        <w:tab w:val="center" w:pos="4536"/>
        <w:tab w:val="right" w:pos="9072"/>
      </w:tabs>
      <w:spacing w:after="0" w:line="240" w:lineRule="auto"/>
    </w:pPr>
  </w:style>
  <w:style w:type="character" w:customStyle="1" w:styleId="ZpatChar">
    <w:name w:val="Zápatí Char"/>
    <w:link w:val="Zpat"/>
    <w:uiPriority w:val="99"/>
    <w:locked/>
    <w:rsid w:val="00561085"/>
    <w:rPr>
      <w:rFonts w:cs="Times New Roman"/>
    </w:rPr>
  </w:style>
  <w:style w:type="table" w:styleId="Mkatabulky">
    <w:name w:val="Table Grid"/>
    <w:basedOn w:val="Normlntabulka"/>
    <w:uiPriority w:val="99"/>
    <w:rsid w:val="000B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uiPriority w:val="99"/>
    <w:rsid w:val="00651712"/>
    <w:rPr>
      <w:rFonts w:cs="Times New Roman"/>
    </w:rPr>
  </w:style>
  <w:style w:type="character" w:styleId="Odkaznakoment">
    <w:name w:val="annotation reference"/>
    <w:uiPriority w:val="99"/>
    <w:semiHidden/>
    <w:unhideWhenUsed/>
    <w:rsid w:val="00847530"/>
    <w:rPr>
      <w:sz w:val="16"/>
      <w:szCs w:val="16"/>
    </w:rPr>
  </w:style>
  <w:style w:type="paragraph" w:styleId="Textkomente">
    <w:name w:val="annotation text"/>
    <w:basedOn w:val="Normln"/>
    <w:link w:val="TextkomenteChar"/>
    <w:uiPriority w:val="99"/>
    <w:unhideWhenUsed/>
    <w:rsid w:val="00847530"/>
    <w:rPr>
      <w:sz w:val="20"/>
      <w:szCs w:val="20"/>
    </w:rPr>
  </w:style>
  <w:style w:type="character" w:customStyle="1" w:styleId="TextkomenteChar">
    <w:name w:val="Text komentáře Char"/>
    <w:link w:val="Textkomente"/>
    <w:uiPriority w:val="99"/>
    <w:rsid w:val="00847530"/>
    <w:rPr>
      <w:sz w:val="20"/>
      <w:szCs w:val="20"/>
      <w:lang w:eastAsia="en-US"/>
    </w:rPr>
  </w:style>
  <w:style w:type="paragraph" w:styleId="Pedmtkomente">
    <w:name w:val="annotation subject"/>
    <w:basedOn w:val="Textkomente"/>
    <w:next w:val="Textkomente"/>
    <w:link w:val="PedmtkomenteChar"/>
    <w:uiPriority w:val="99"/>
    <w:semiHidden/>
    <w:unhideWhenUsed/>
    <w:rsid w:val="00847530"/>
    <w:rPr>
      <w:b/>
      <w:bCs/>
    </w:rPr>
  </w:style>
  <w:style w:type="character" w:customStyle="1" w:styleId="PedmtkomenteChar">
    <w:name w:val="Předmět komentáře Char"/>
    <w:link w:val="Pedmtkomente"/>
    <w:uiPriority w:val="99"/>
    <w:semiHidden/>
    <w:rsid w:val="00847530"/>
    <w:rPr>
      <w:b/>
      <w:bCs/>
      <w:sz w:val="20"/>
      <w:szCs w:val="20"/>
      <w:lang w:eastAsia="en-US"/>
    </w:rPr>
  </w:style>
  <w:style w:type="character" w:styleId="PromnnHTML">
    <w:name w:val="HTML Variable"/>
    <w:uiPriority w:val="99"/>
    <w:semiHidden/>
    <w:unhideWhenUsed/>
    <w:rsid w:val="00CA7B05"/>
    <w:rPr>
      <w:i/>
      <w:iCs/>
    </w:rPr>
  </w:style>
  <w:style w:type="paragraph" w:styleId="Revize">
    <w:name w:val="Revision"/>
    <w:hidden/>
    <w:uiPriority w:val="99"/>
    <w:semiHidden/>
    <w:rsid w:val="005A69DA"/>
    <w:rPr>
      <w:sz w:val="22"/>
      <w:szCs w:val="22"/>
      <w:lang w:eastAsia="en-US"/>
    </w:rPr>
  </w:style>
  <w:style w:type="paragraph" w:styleId="Textpoznpodarou">
    <w:name w:val="footnote text"/>
    <w:basedOn w:val="Normln"/>
    <w:link w:val="TextpoznpodarouChar"/>
    <w:uiPriority w:val="99"/>
    <w:semiHidden/>
    <w:unhideWhenUsed/>
    <w:rsid w:val="0033487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34875"/>
    <w:rPr>
      <w:lang w:eastAsia="en-US"/>
    </w:rPr>
  </w:style>
  <w:style w:type="character" w:styleId="Znakapoznpodarou">
    <w:name w:val="footnote reference"/>
    <w:basedOn w:val="Standardnpsmoodstavce"/>
    <w:uiPriority w:val="99"/>
    <w:semiHidden/>
    <w:unhideWhenUsed/>
    <w:rsid w:val="003348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132351">
      <w:marLeft w:val="0"/>
      <w:marRight w:val="0"/>
      <w:marTop w:val="0"/>
      <w:marBottom w:val="0"/>
      <w:divBdr>
        <w:top w:val="none" w:sz="0" w:space="0" w:color="auto"/>
        <w:left w:val="none" w:sz="0" w:space="0" w:color="auto"/>
        <w:bottom w:val="none" w:sz="0" w:space="0" w:color="auto"/>
        <w:right w:val="none" w:sz="0" w:space="0" w:color="auto"/>
      </w:divBdr>
    </w:div>
    <w:div w:id="1327132352">
      <w:marLeft w:val="0"/>
      <w:marRight w:val="0"/>
      <w:marTop w:val="0"/>
      <w:marBottom w:val="0"/>
      <w:divBdr>
        <w:top w:val="none" w:sz="0" w:space="0" w:color="auto"/>
        <w:left w:val="none" w:sz="0" w:space="0" w:color="auto"/>
        <w:bottom w:val="none" w:sz="0" w:space="0" w:color="auto"/>
        <w:right w:val="none" w:sz="0" w:space="0" w:color="auto"/>
      </w:divBdr>
    </w:div>
    <w:div w:id="1327132353">
      <w:marLeft w:val="0"/>
      <w:marRight w:val="0"/>
      <w:marTop w:val="0"/>
      <w:marBottom w:val="0"/>
      <w:divBdr>
        <w:top w:val="none" w:sz="0" w:space="0" w:color="auto"/>
        <w:left w:val="none" w:sz="0" w:space="0" w:color="auto"/>
        <w:bottom w:val="none" w:sz="0" w:space="0" w:color="auto"/>
        <w:right w:val="none" w:sz="0" w:space="0" w:color="auto"/>
      </w:divBdr>
    </w:div>
    <w:div w:id="1327132354">
      <w:marLeft w:val="0"/>
      <w:marRight w:val="0"/>
      <w:marTop w:val="0"/>
      <w:marBottom w:val="0"/>
      <w:divBdr>
        <w:top w:val="none" w:sz="0" w:space="0" w:color="auto"/>
        <w:left w:val="none" w:sz="0" w:space="0" w:color="auto"/>
        <w:bottom w:val="none" w:sz="0" w:space="0" w:color="auto"/>
        <w:right w:val="none" w:sz="0" w:space="0" w:color="auto"/>
      </w:divBdr>
    </w:div>
    <w:div w:id="13271323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F85CD-E6F7-42F4-B310-0BDD3C321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3592</Words>
  <Characters>21196</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Tarbajová Dita</dc:creator>
  <cp:keywords/>
  <dc:description/>
  <cp:lastModifiedBy>Vidláková Martina</cp:lastModifiedBy>
  <cp:revision>9</cp:revision>
  <cp:lastPrinted>2017-01-10T08:20:00Z</cp:lastPrinted>
  <dcterms:created xsi:type="dcterms:W3CDTF">2023-03-24T08:43:00Z</dcterms:created>
  <dcterms:modified xsi:type="dcterms:W3CDTF">2023-03-28T11:04:00Z</dcterms:modified>
</cp:coreProperties>
</file>